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rPr>
          <w:rFonts w:hint="eastAsia" w:ascii="Calibri" w:hAnsi="Calibri" w:eastAsia="宋体" w:cs="Times New Roman"/>
          <w:color w:val="000000" w:themeColor="text1"/>
          <w:szCs w:val="21"/>
          <w:lang w:val="en-US" w:eastAsia="zh-CN"/>
          <w14:textFill>
            <w14:solidFill>
              <w14:schemeClr w14:val="tx1"/>
            </w14:solidFill>
          </w14:textFill>
        </w:rPr>
      </w:pPr>
      <w:r>
        <w:rPr>
          <w:rFonts w:hint="eastAsia" w:ascii="Calibri" w:hAnsi="Calibri" w:eastAsia="宋体" w:cs="Times New Roman"/>
          <w:color w:val="000000" w:themeColor="text1"/>
          <w:szCs w:val="21"/>
          <w:lang w:val="en-US" w:eastAsia="zh-CN"/>
          <w14:textFill>
            <w14:solidFill>
              <w14:schemeClr w14:val="tx1"/>
            </w14:solidFill>
          </w14:textFill>
        </w:rPr>
        <w:t>附件：</w:t>
      </w:r>
      <w:bookmarkStart w:id="6" w:name="_GoBack"/>
      <w:bookmarkEnd w:id="6"/>
    </w:p>
    <w:p>
      <w:pPr>
        <w:keepNext/>
        <w:keepLines/>
        <w:spacing w:before="340" w:after="330" w:line="360" w:lineRule="auto"/>
        <w:jc w:val="center"/>
        <w:outlineLvl w:val="0"/>
        <w:rPr>
          <w:rFonts w:hint="eastAsia" w:ascii="Calibri" w:hAnsi="Calibri" w:eastAsia="黑体" w:cs="Times New Roman"/>
          <w:bCs/>
          <w:color w:val="000000" w:themeColor="text1"/>
          <w:kern w:val="44"/>
          <w:sz w:val="44"/>
          <w:szCs w:val="44"/>
          <w:lang w:val="en-US" w:eastAsia="zh-CN"/>
          <w14:textFill>
            <w14:solidFill>
              <w14:schemeClr w14:val="tx1"/>
            </w14:solidFill>
          </w14:textFill>
        </w:rPr>
      </w:pPr>
      <w:r>
        <w:rPr>
          <w:rFonts w:hint="eastAsia" w:ascii="Calibri" w:hAnsi="Calibri" w:eastAsia="黑体" w:cs="Times New Roman"/>
          <w:bCs/>
          <w:color w:val="000000" w:themeColor="text1"/>
          <w:kern w:val="44"/>
          <w:sz w:val="44"/>
          <w:szCs w:val="44"/>
          <w:lang w:val="en-US" w:eastAsia="zh-CN"/>
          <w14:textFill>
            <w14:solidFill>
              <w14:schemeClr w14:val="tx1"/>
            </w14:solidFill>
          </w14:textFill>
        </w:rPr>
        <w:t>国家税务总局广西壮族自治区税务局</w:t>
      </w:r>
    </w:p>
    <w:p>
      <w:pPr>
        <w:keepNext/>
        <w:keepLines/>
        <w:spacing w:before="340" w:after="330" w:line="360" w:lineRule="auto"/>
        <w:jc w:val="center"/>
        <w:outlineLvl w:val="0"/>
        <w:rPr>
          <w:rFonts w:ascii="Calibri" w:hAnsi="Calibri" w:eastAsia="黑体" w:cs="Times New Roman"/>
          <w:bCs/>
          <w:color w:val="000000" w:themeColor="text1"/>
          <w:kern w:val="44"/>
          <w:sz w:val="44"/>
          <w:szCs w:val="44"/>
          <w14:textFill>
            <w14:solidFill>
              <w14:schemeClr w14:val="tx1"/>
            </w14:solidFill>
          </w14:textFill>
        </w:rPr>
      </w:pPr>
      <w:r>
        <w:rPr>
          <w:rFonts w:hint="eastAsia" w:ascii="Calibri" w:hAnsi="Calibri" w:eastAsia="黑体" w:cs="Times New Roman"/>
          <w:bCs/>
          <w:color w:val="000000" w:themeColor="text1"/>
          <w:kern w:val="44"/>
          <w:sz w:val="44"/>
          <w:szCs w:val="44"/>
          <w:lang w:val="en-US" w:eastAsia="zh-CN"/>
          <w14:textFill>
            <w14:solidFill>
              <w14:schemeClr w14:val="tx1"/>
            </w14:solidFill>
          </w14:textFill>
        </w:rPr>
        <w:t>机关职工食堂食材项目</w:t>
      </w:r>
      <w:r>
        <w:rPr>
          <w:rFonts w:hint="eastAsia" w:ascii="Calibri" w:hAnsi="Calibri" w:eastAsia="黑体" w:cs="Times New Roman"/>
          <w:bCs/>
          <w:color w:val="000000" w:themeColor="text1"/>
          <w:kern w:val="44"/>
          <w:sz w:val="44"/>
          <w:szCs w:val="44"/>
          <w14:textFill>
            <w14:solidFill>
              <w14:schemeClr w14:val="tx1"/>
            </w14:solidFill>
          </w14:textFill>
        </w:rPr>
        <w:t>项目采购需求</w:t>
      </w:r>
    </w:p>
    <w:p>
      <w:pPr>
        <w:spacing w:line="360" w:lineRule="auto"/>
        <w:ind w:firstLine="420" w:firstLineChars="200"/>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说明：</w:t>
      </w:r>
    </w:p>
    <w:p>
      <w:pPr>
        <w:spacing w:line="360" w:lineRule="auto"/>
        <w:ind w:firstLine="420" w:firstLineChars="200"/>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1.投标人提供的货物服务必须符合国家和行业标准。</w:t>
      </w:r>
    </w:p>
    <w:p>
      <w:pPr>
        <w:spacing w:line="360" w:lineRule="auto"/>
        <w:ind w:firstLine="420" w:firstLineChars="200"/>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2.标“★”为实质性参数要求和条件，投标人必须满足并在投标文件中如实作出响应，否则投标无效；标“▲”为重点指标；无标识的为一般指标。</w:t>
      </w:r>
    </w:p>
    <w:p>
      <w:pPr>
        <w:spacing w:line="360" w:lineRule="auto"/>
        <w:ind w:firstLine="420" w:firstLineChars="200"/>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3.投标人投标时必须在投标文件中对所有项目要求及技术需求内容、商务要求表中内容及附件内容（如有）逐条响应并一一对应。</w:t>
      </w:r>
    </w:p>
    <w:p>
      <w:pPr>
        <w:spacing w:line="360" w:lineRule="auto"/>
        <w:ind w:firstLine="422" w:firstLineChars="200"/>
        <w:rPr>
          <w:rFonts w:ascii="Calibri" w:hAnsi="Calibri" w:eastAsia="宋体" w:cs="Times New Roman"/>
          <w:b/>
          <w:color w:val="000000" w:themeColor="text1"/>
          <w:szCs w:val="21"/>
          <w14:textFill>
            <w14:solidFill>
              <w14:schemeClr w14:val="tx1"/>
            </w14:solidFill>
          </w14:textFill>
        </w:rPr>
      </w:pPr>
      <w:r>
        <w:rPr>
          <w:rFonts w:hint="eastAsia" w:ascii="Calibri" w:hAnsi="Calibri" w:eastAsia="宋体" w:cs="Times New Roman"/>
          <w:b/>
          <w:color w:val="000000" w:themeColor="text1"/>
          <w:szCs w:val="21"/>
          <w14:textFill>
            <w14:solidFill>
              <w14:schemeClr w14:val="tx1"/>
            </w14:solidFill>
          </w14:textFill>
        </w:rPr>
        <w:t>4</w:t>
      </w:r>
      <w:r>
        <w:rPr>
          <w:rFonts w:ascii="Calibri" w:hAnsi="Calibri" w:eastAsia="宋体" w:cs="Times New Roman"/>
          <w:b/>
          <w:color w:val="000000" w:themeColor="text1"/>
          <w:szCs w:val="21"/>
          <w14:textFill>
            <w14:solidFill>
              <w14:schemeClr w14:val="tx1"/>
            </w14:solidFill>
          </w14:textFill>
        </w:rPr>
        <w:t>.</w:t>
      </w:r>
      <w:r>
        <w:rPr>
          <w:rFonts w:hint="eastAsia" w:ascii="Calibri" w:hAnsi="Calibri" w:eastAsia="宋体" w:cs="Times New Roman"/>
          <w:b/>
          <w:color w:val="000000" w:themeColor="text1"/>
          <w:szCs w:val="21"/>
          <w14:textFill>
            <w14:solidFill>
              <w14:schemeClr w14:val="tx1"/>
            </w14:solidFill>
          </w14:textFill>
        </w:rPr>
        <w:t>生鲜类食材所属行业为：农、林、牧、渔业；非生鲜类食材所属行业为：工业。</w:t>
      </w:r>
    </w:p>
    <w:tbl>
      <w:tblPr>
        <w:tblStyle w:val="6"/>
        <w:tblW w:w="48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2"/>
        <w:gridCol w:w="704"/>
        <w:gridCol w:w="592"/>
        <w:gridCol w:w="592"/>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400" w:lineRule="exact"/>
              <w:jc w:val="left"/>
              <w:rPr>
                <w:rFonts w:ascii="宋体" w:hAnsi="宋体" w:eastAsia="宋体" w:cs="Times New Roman"/>
                <w:b/>
                <w:bCs/>
                <w:color w:val="000000"/>
                <w:szCs w:val="21"/>
              </w:rPr>
            </w:pPr>
            <w:r>
              <w:rPr>
                <w:rFonts w:hint="eastAsia" w:ascii="宋体" w:hAnsi="宋体" w:eastAsia="宋体" w:cs="Times New Roman"/>
                <w:b/>
                <w:bCs/>
                <w:color w:val="000000"/>
                <w:szCs w:val="21"/>
              </w:rPr>
              <w:t>一、技术需求或者服务要求：</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（一）总体要求：</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为规范采购</w:t>
            </w:r>
            <w:r>
              <w:rPr>
                <w:rFonts w:hint="eastAsia" w:ascii="宋体" w:hAnsi="宋体" w:eastAsia="宋体" w:cs="Times New Roman"/>
                <w:color w:val="000000"/>
                <w:szCs w:val="21"/>
                <w:lang w:eastAsia="zh-CN"/>
              </w:rPr>
              <w:t>行为</w:t>
            </w:r>
            <w:r>
              <w:rPr>
                <w:rFonts w:hint="eastAsia" w:ascii="宋体" w:hAnsi="宋体" w:eastAsia="宋体" w:cs="Times New Roman"/>
                <w:color w:val="000000"/>
                <w:szCs w:val="21"/>
              </w:rPr>
              <w:t>，降低采购成本，提</w:t>
            </w:r>
            <w:r>
              <w:rPr>
                <w:rFonts w:hint="eastAsia" w:ascii="宋体" w:hAnsi="宋体" w:eastAsia="宋体" w:cs="Times New Roman"/>
                <w:color w:val="000000"/>
                <w:szCs w:val="21"/>
                <w:lang w:eastAsia="zh-CN"/>
              </w:rPr>
              <w:t>升</w:t>
            </w:r>
            <w:r>
              <w:rPr>
                <w:rFonts w:hint="eastAsia" w:ascii="宋体" w:hAnsi="宋体" w:eastAsia="宋体" w:cs="Times New Roman"/>
                <w:color w:val="000000"/>
                <w:szCs w:val="21"/>
              </w:rPr>
              <w:t>采购效益，</w:t>
            </w:r>
            <w:r>
              <w:rPr>
                <w:rFonts w:hint="eastAsia" w:ascii="宋体" w:hAnsi="宋体" w:eastAsia="宋体" w:cs="Times New Roman"/>
                <w:color w:val="000000"/>
                <w:szCs w:val="21"/>
                <w:lang w:eastAsia="zh-CN"/>
              </w:rPr>
              <w:t>依据</w:t>
            </w:r>
            <w:r>
              <w:rPr>
                <w:rFonts w:hint="eastAsia" w:ascii="宋体" w:hAnsi="宋体" w:eastAsia="宋体" w:cs="Times New Roman"/>
                <w:color w:val="000000"/>
                <w:szCs w:val="21"/>
              </w:rPr>
              <w:t>《中华人民共和国政府采购法》及其他</w:t>
            </w:r>
            <w:r>
              <w:rPr>
                <w:rFonts w:hint="eastAsia" w:ascii="宋体" w:hAnsi="宋体" w:eastAsia="宋体" w:cs="Times New Roman"/>
                <w:color w:val="000000"/>
                <w:szCs w:val="21"/>
                <w:lang w:eastAsia="zh-CN"/>
              </w:rPr>
              <w:t>相</w:t>
            </w:r>
            <w:r>
              <w:rPr>
                <w:rFonts w:hint="eastAsia" w:ascii="宋体" w:hAnsi="宋体" w:eastAsia="宋体" w:cs="Times New Roman"/>
                <w:color w:val="000000"/>
                <w:szCs w:val="21"/>
              </w:rPr>
              <w:t>关规定，国家税务总局广西壮族自治区税务局现通过政府采购程序</w:t>
            </w:r>
            <w:r>
              <w:rPr>
                <w:rFonts w:hint="eastAsia" w:ascii="宋体" w:hAnsi="宋体" w:eastAsia="宋体" w:cs="Times New Roman"/>
                <w:color w:val="000000"/>
                <w:szCs w:val="21"/>
                <w:lang w:eastAsia="zh-CN"/>
              </w:rPr>
              <w:t>，选定</w:t>
            </w:r>
            <w:r>
              <w:rPr>
                <w:rFonts w:hint="eastAsia" w:ascii="宋体" w:hAnsi="宋体" w:eastAsia="宋体" w:cs="Times New Roman"/>
                <w:color w:val="000000"/>
                <w:szCs w:val="21"/>
              </w:rPr>
              <w:t>食堂食材</w:t>
            </w:r>
            <w:r>
              <w:rPr>
                <w:rFonts w:hint="eastAsia" w:ascii="宋体" w:hAnsi="宋体" w:eastAsia="宋体" w:cs="Times New Roman"/>
                <w:color w:val="000000"/>
                <w:szCs w:val="21"/>
                <w:lang w:eastAsia="zh-CN"/>
              </w:rPr>
              <w:t>供应商</w:t>
            </w:r>
            <w:r>
              <w:rPr>
                <w:rFonts w:hint="eastAsia" w:ascii="宋体" w:hAnsi="宋体" w:eastAsia="宋体" w:cs="Times New Roman"/>
                <w:color w:val="000000"/>
                <w:szCs w:val="21"/>
              </w:rPr>
              <w:t>，</w:t>
            </w:r>
            <w:r>
              <w:rPr>
                <w:rFonts w:hint="eastAsia" w:ascii="宋体" w:hAnsi="宋体" w:eastAsia="宋体" w:cs="Times New Roman"/>
                <w:color w:val="000000"/>
                <w:szCs w:val="21"/>
                <w:lang w:eastAsia="zh-CN"/>
              </w:rPr>
              <w:t>并明确</w:t>
            </w:r>
            <w:r>
              <w:rPr>
                <w:rFonts w:hint="eastAsia" w:ascii="宋体" w:hAnsi="宋体" w:eastAsia="宋体" w:cs="Times New Roman"/>
                <w:color w:val="000000"/>
                <w:szCs w:val="21"/>
              </w:rPr>
              <w:t>采购内容、价格</w:t>
            </w:r>
            <w:r>
              <w:rPr>
                <w:rFonts w:hint="eastAsia" w:ascii="宋体" w:hAnsi="宋体" w:eastAsia="宋体" w:cs="Times New Roman"/>
                <w:color w:val="000000"/>
                <w:szCs w:val="21"/>
                <w:lang w:eastAsia="zh-CN"/>
              </w:rPr>
              <w:t>下浮系数</w:t>
            </w:r>
            <w:r>
              <w:rPr>
                <w:rFonts w:hint="eastAsia" w:ascii="宋体" w:hAnsi="宋体" w:eastAsia="宋体" w:cs="Times New Roman"/>
                <w:color w:val="000000"/>
                <w:szCs w:val="21"/>
              </w:rPr>
              <w:t>、合同</w:t>
            </w:r>
            <w:r>
              <w:rPr>
                <w:rFonts w:hint="eastAsia" w:ascii="宋体" w:hAnsi="宋体" w:eastAsia="宋体" w:cs="Times New Roman"/>
                <w:color w:val="000000"/>
                <w:szCs w:val="21"/>
                <w:lang w:eastAsia="zh-CN"/>
              </w:rPr>
              <w:t>履行</w:t>
            </w:r>
            <w:r>
              <w:rPr>
                <w:rFonts w:hint="eastAsia" w:ascii="宋体" w:hAnsi="宋体" w:eastAsia="宋体" w:cs="Times New Roman"/>
                <w:color w:val="000000"/>
                <w:szCs w:val="21"/>
              </w:rPr>
              <w:t>期及服务</w:t>
            </w:r>
            <w:r>
              <w:rPr>
                <w:rFonts w:hint="eastAsia" w:ascii="宋体" w:hAnsi="宋体" w:eastAsia="宋体" w:cs="Times New Roman"/>
                <w:color w:val="000000"/>
                <w:szCs w:val="21"/>
                <w:lang w:eastAsia="zh-CN"/>
              </w:rPr>
              <w:t>标准等事项</w:t>
            </w:r>
            <w:r>
              <w:rPr>
                <w:rFonts w:hint="eastAsia" w:ascii="宋体" w:hAnsi="宋体" w:eastAsia="宋体" w:cs="Times New Roman"/>
                <w:color w:val="000000"/>
                <w:szCs w:val="21"/>
              </w:rPr>
              <w:t>，以合同条款协议</w:t>
            </w:r>
            <w:r>
              <w:rPr>
                <w:rFonts w:hint="eastAsia" w:ascii="宋体" w:hAnsi="宋体" w:eastAsia="宋体" w:cs="Times New Roman"/>
                <w:color w:val="000000"/>
                <w:szCs w:val="21"/>
                <w:lang w:eastAsia="zh-CN"/>
              </w:rPr>
              <w:t>的</w:t>
            </w:r>
            <w:r>
              <w:rPr>
                <w:rFonts w:hint="eastAsia" w:ascii="宋体" w:hAnsi="宋体" w:eastAsia="宋体" w:cs="Times New Roman"/>
                <w:color w:val="000000"/>
                <w:szCs w:val="21"/>
              </w:rPr>
              <w:t>形式</w:t>
            </w:r>
            <w:r>
              <w:rPr>
                <w:rFonts w:hint="eastAsia" w:ascii="宋体" w:hAnsi="宋体" w:eastAsia="宋体" w:cs="Times New Roman"/>
                <w:color w:val="000000"/>
                <w:szCs w:val="21"/>
                <w:lang w:eastAsia="zh-CN"/>
              </w:rPr>
              <w:t>加以确定。</w:t>
            </w:r>
            <w:r>
              <w:rPr>
                <w:rFonts w:hint="eastAsia" w:ascii="宋体" w:hAnsi="宋体" w:eastAsia="宋体" w:cs="Times New Roman"/>
                <w:color w:val="000000"/>
                <w:szCs w:val="21"/>
              </w:rPr>
              <w:t>在合同有效期内</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中标人</w:t>
            </w:r>
            <w:r>
              <w:rPr>
                <w:rFonts w:hint="eastAsia" w:ascii="宋体" w:hAnsi="宋体" w:eastAsia="宋体" w:cs="Times New Roman"/>
                <w:color w:val="000000"/>
                <w:szCs w:val="21"/>
                <w:lang w:eastAsia="zh-CN"/>
              </w:rPr>
              <w:t>将负责向</w:t>
            </w:r>
            <w:r>
              <w:rPr>
                <w:rFonts w:hint="eastAsia" w:ascii="宋体" w:hAnsi="宋体" w:eastAsia="宋体" w:cs="Times New Roman"/>
                <w:color w:val="000000"/>
                <w:szCs w:val="21"/>
              </w:rPr>
              <w:t>采购人提供</w:t>
            </w:r>
            <w:r>
              <w:rPr>
                <w:rFonts w:hint="eastAsia" w:ascii="宋体" w:hAnsi="宋体" w:eastAsia="宋体" w:cs="Times New Roman"/>
                <w:color w:val="000000"/>
                <w:szCs w:val="21"/>
                <w:lang w:eastAsia="zh-CN"/>
              </w:rPr>
              <w:t>约定</w:t>
            </w:r>
            <w:r>
              <w:rPr>
                <w:rFonts w:hint="eastAsia" w:ascii="宋体" w:hAnsi="宋体" w:eastAsia="宋体" w:cs="Times New Roman"/>
                <w:color w:val="000000"/>
                <w:szCs w:val="21"/>
              </w:rPr>
              <w:t>范围内的食材，具体</w:t>
            </w:r>
            <w:r>
              <w:rPr>
                <w:rFonts w:hint="eastAsia" w:ascii="宋体" w:hAnsi="宋体" w:eastAsia="宋体" w:cs="Times New Roman"/>
                <w:color w:val="000000"/>
                <w:szCs w:val="21"/>
                <w:lang w:eastAsia="zh-CN"/>
              </w:rPr>
              <w:t>采购</w:t>
            </w:r>
            <w:r>
              <w:rPr>
                <w:rFonts w:hint="eastAsia" w:ascii="宋体" w:hAnsi="宋体" w:eastAsia="宋体" w:cs="Times New Roman"/>
                <w:color w:val="000000"/>
                <w:szCs w:val="21"/>
              </w:rPr>
              <w:t>数量</w:t>
            </w:r>
            <w:r>
              <w:rPr>
                <w:rFonts w:hint="eastAsia" w:ascii="宋体" w:hAnsi="宋体" w:eastAsia="宋体" w:cs="Times New Roman"/>
                <w:color w:val="000000"/>
                <w:szCs w:val="21"/>
                <w:lang w:eastAsia="zh-CN"/>
              </w:rPr>
              <w:t>依据</w:t>
            </w:r>
            <w:r>
              <w:rPr>
                <w:rFonts w:hint="eastAsia" w:ascii="宋体" w:hAnsi="宋体" w:eastAsia="宋体" w:cs="Times New Roman"/>
                <w:color w:val="000000"/>
                <w:szCs w:val="21"/>
              </w:rPr>
              <w:t>实际</w:t>
            </w:r>
            <w:r>
              <w:rPr>
                <w:rFonts w:hint="eastAsia" w:ascii="宋体" w:hAnsi="宋体" w:eastAsia="宋体" w:cs="Times New Roman"/>
                <w:color w:val="000000"/>
                <w:szCs w:val="21"/>
                <w:lang w:eastAsia="zh-CN"/>
              </w:rPr>
              <w:t>需求确定。采购人在合同有效期内不保证</w:t>
            </w:r>
            <w:r>
              <w:rPr>
                <w:rFonts w:hint="eastAsia" w:ascii="宋体" w:hAnsi="宋体" w:eastAsia="宋体" w:cs="Times New Roman"/>
                <w:color w:val="000000"/>
                <w:szCs w:val="21"/>
              </w:rPr>
              <w:t>授予中标人</w:t>
            </w:r>
            <w:r>
              <w:rPr>
                <w:rFonts w:hint="eastAsia" w:ascii="宋体" w:hAnsi="宋体" w:eastAsia="宋体" w:cs="Times New Roman"/>
                <w:color w:val="000000"/>
                <w:szCs w:val="21"/>
                <w:lang w:eastAsia="zh-CN"/>
              </w:rPr>
              <w:t>所有</w:t>
            </w:r>
            <w:r>
              <w:rPr>
                <w:rFonts w:hint="eastAsia" w:ascii="宋体" w:hAnsi="宋体" w:eastAsia="宋体" w:cs="Times New Roman"/>
                <w:color w:val="000000"/>
                <w:szCs w:val="21"/>
              </w:rPr>
              <w:t>品类</w:t>
            </w:r>
            <w:r>
              <w:rPr>
                <w:rFonts w:hint="eastAsia" w:ascii="宋体" w:hAnsi="宋体" w:eastAsia="宋体" w:cs="Times New Roman"/>
                <w:color w:val="000000"/>
                <w:szCs w:val="21"/>
                <w:lang w:eastAsia="zh-CN"/>
              </w:rPr>
              <w:t>的实际采购权</w:t>
            </w:r>
            <w:r>
              <w:rPr>
                <w:rFonts w:hint="eastAsia" w:ascii="宋体" w:hAnsi="宋体" w:eastAsia="宋体" w:cs="Times New Roman"/>
                <w:color w:val="000000"/>
                <w:szCs w:val="21"/>
              </w:rPr>
              <w:t>，也不</w:t>
            </w:r>
            <w:r>
              <w:rPr>
                <w:rFonts w:hint="eastAsia" w:ascii="宋体" w:hAnsi="宋体" w:eastAsia="宋体" w:cs="Times New Roman"/>
                <w:color w:val="000000"/>
                <w:szCs w:val="21"/>
                <w:lang w:eastAsia="zh-CN"/>
              </w:rPr>
              <w:t>对</w:t>
            </w:r>
            <w:r>
              <w:rPr>
                <w:rFonts w:hint="eastAsia" w:ascii="宋体" w:hAnsi="宋体" w:eastAsia="宋体" w:cs="Times New Roman"/>
                <w:color w:val="000000"/>
                <w:szCs w:val="21"/>
              </w:rPr>
              <w:t>实际采购数量</w:t>
            </w:r>
            <w:r>
              <w:rPr>
                <w:rFonts w:hint="eastAsia" w:ascii="宋体" w:hAnsi="宋体" w:eastAsia="宋体" w:cs="Times New Roman"/>
                <w:color w:val="000000"/>
                <w:szCs w:val="21"/>
                <w:lang w:eastAsia="zh-CN"/>
              </w:rPr>
              <w:t>作出承诺。</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（二）安全质量:</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1、保证所提供的食材均符合《中华人民共和国食品安全法》等食品相关法律法规的要求，达到国家和行业规定的质量标准，有保质期限的商品剩余保存期不得少于原有保质期的三分之二。</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2、保证所提供的食材均符合本章附件1《食材质量要求》中的“质量要求及验收标准”要求。</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3、</w:t>
            </w:r>
            <w:bookmarkStart w:id="0" w:name="OLE_LINK23"/>
            <w:r>
              <w:rPr>
                <w:rFonts w:hint="eastAsia" w:ascii="宋体" w:hAnsi="宋体" w:eastAsia="宋体" w:cs="Times New Roman"/>
                <w:color w:val="000000"/>
                <w:szCs w:val="21"/>
              </w:rPr>
              <w:t>必须具备有食品安全质量检测能</w:t>
            </w:r>
            <w:bookmarkEnd w:id="0"/>
            <w:r>
              <w:rPr>
                <w:rFonts w:hint="eastAsia" w:ascii="宋体" w:hAnsi="宋体" w:eastAsia="宋体" w:cs="Times New Roman"/>
                <w:color w:val="000000"/>
                <w:szCs w:val="21"/>
              </w:rPr>
              <w:t>力，提供给采购人的食品及原材料，必须经过配送前检测，保证配送给采购人的食品及原材料符合食品卫生安全质量标准，并提供食品检验报告单，采购人有权进行监督和履行货物验收手续。</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4、生鲜类</w:t>
            </w:r>
            <w:bookmarkStart w:id="1" w:name="OLE_LINK22"/>
            <w:r>
              <w:rPr>
                <w:rFonts w:hint="eastAsia" w:ascii="宋体" w:hAnsi="宋体" w:eastAsia="宋体" w:cs="Times New Roman"/>
                <w:color w:val="000000"/>
                <w:szCs w:val="21"/>
              </w:rPr>
              <w:t>质量</w:t>
            </w:r>
            <w:bookmarkEnd w:id="1"/>
            <w:r>
              <w:rPr>
                <w:rFonts w:hint="eastAsia" w:ascii="宋体" w:hAnsi="宋体" w:eastAsia="宋体" w:cs="Times New Roman"/>
                <w:color w:val="000000"/>
                <w:szCs w:val="21"/>
              </w:rPr>
              <w:t>要求：冷冻类应保持较好的外观和质量等级，鲜肉类保证来源于正规渠道，必须经过检疫，如猪肉分为黑土猪、白条猪，鸡肉分为土鸡、果园鸡、圈养鸡，鸭肉分为土麻鸭、西洋鸭、水盆鸭（白鸭）等。蔬菜类应保持良好的色泽及新鲜度，以确保菜、肉新鲜。中标人提供的食材被采购人发现有安全质量问题的，有权退换货。如因菜类、肉类变质等质量原因，而导致采购人就餐人员发生食品卫生事故，要承担全部经济赔偿并负法律责任，同时终止合同。</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5、蔬菜类质量要求：来源应当于受到地方政府部门监管的自有基地、商品菜基地或蔬菜专业流通市场，严禁收购散户农民的蔬菜供应。蔬菜生产商的管理要求：菜地配有专用的农药喷洒用具及其他农用器具；蔬菜采收后需用清洁、无污染的运输工具运抵加工地点。对蔬菜生产商环境要求：菜地周围需设有隔离网、隔离带或其他有效的隔离措施，确保不受临近农田施肥和用药污染；菜地周围无养殖场、化工厂、垃圾处理场、医院以及污水排放管道等污染源。对蔬菜生产商水源要求：菜地应有清洁无污染的灌溉水源；灌溉水井设有防护设施。灌溉水源需经检测验证符合规定要求，一年内在蔬菜种植过程对水源进行2次监测。农药要求：种植使用的农药须符合安全管理部门的规定，严禁使用违禁药物；农药的采购、保管、发放、使用须建立记录；蔬菜卫生质量要求：卫生质量指标，应符合我国无公害蔬菜上的卫生指标规定。</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6、包装与标志要求：</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①蔬菜类容器(框、箱、袋)要求清洁、干燥、牢固、透气，无污染、无异味、无霉变现象；标志：每件包装须按《农产品包装和标识管理办法》贴标签，并标明产地、品种、净含量、生产单位及地址和采收日期。</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②非生鲜类食材类食品包装标签应符合《食品安全国家标准预包装食品标签通则》（GB 7718）要求，包括食品名称、配料表、净含量、规格、生产者（或）经销者的名称、地址和联系方式、生产日期和保质期、贮存条件、食品生产许可证编号、产品标准代号等内容。包装应完好无破漏，可视的内容物无腐败霉变或影响使用的变形，不存在危及人身、财产安全的情形。</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7、提供的食材出现假冒或者严重质量问题、安全隐患等，采购人有权单方面通知中标人解除合同。给采购人或采购人客人、职工造成实际损失的，采购人有权要求中标人承担相应责任，同时采购人有权禁止中标人及其关联方与采购人进行合作。</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8、采购人可对中标人供应的生鲜类食材实行食材留样和农药检测，并不定期抽样送卫生防疫部门检疫。如有卫生、质量问题，检验费由中标人承担，并承担全部损失及相关责任。</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9、因中标人供应的食材质量问题，导致采购人发生食物中毒等食品安全事故的，由中标人承担全部损失及相关责任。</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（三）供货要求</w:t>
            </w:r>
          </w:p>
          <w:p>
            <w:pPr>
              <w:adjustRightInd w:val="0"/>
              <w:snapToGrid w:val="0"/>
              <w:spacing w:line="400" w:lineRule="exact"/>
              <w:ind w:firstLine="420" w:firstLineChars="200"/>
              <w:rPr>
                <w:rFonts w:ascii="Calibri" w:hAnsi="Calibri" w:eastAsia="宋体" w:cs="Times New Roman"/>
                <w:color w:val="0000FF"/>
                <w:szCs w:val="21"/>
              </w:rPr>
            </w:pPr>
            <w:r>
              <w:rPr>
                <w:rFonts w:hint="eastAsia" w:ascii="宋体" w:hAnsi="宋体" w:eastAsia="宋体" w:cs="Times New Roman"/>
                <w:color w:val="000000"/>
                <w:szCs w:val="21"/>
              </w:rPr>
              <w:t>1.</w:t>
            </w:r>
            <w:r>
              <w:rPr>
                <w:rFonts w:hint="eastAsia"/>
              </w:rPr>
              <w:t>中标人</w:t>
            </w:r>
            <w:r>
              <w:rPr>
                <w:rFonts w:hint="eastAsia" w:ascii="宋体" w:hAnsi="宋体" w:eastAsia="宋体" w:cs="Times New Roman"/>
                <w:color w:val="000000"/>
                <w:szCs w:val="21"/>
              </w:rPr>
              <w:t>具备有食品安全质量检验室能力，能按要求对供应的蔬菜类等食材食品关键性安全指标进行快速检测。</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2</w:t>
            </w:r>
            <w:r>
              <w:rPr>
                <w:rFonts w:ascii="宋体" w:hAnsi="宋体" w:eastAsia="宋体" w:cs="Times New Roman"/>
                <w:color w:val="000000"/>
                <w:szCs w:val="21"/>
              </w:rPr>
              <w:t>.</w:t>
            </w:r>
            <w:r>
              <w:rPr>
                <w:rFonts w:hint="eastAsia" w:ascii="宋体" w:hAnsi="宋体" w:eastAsia="宋体" w:cs="Times New Roman"/>
                <w:color w:val="000000"/>
                <w:szCs w:val="21"/>
              </w:rPr>
              <w:t>供应商自有或租赁种、养殖基地，保障供货能力。</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3.配备有专职或兼职的检测人员。</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4.中标人建立食品进货检查记录制度，如实记录食品的名称、规格、数量、生产批号、保质期、供货者名称及联系方式、进货日期等内容。</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5.中标人配送食材符合国家对食品、食品相关产品中的致病性微生物、农药残留、兽药残留、重金属、污染物质以及其他危害人体健康物质的限量规定。</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★6.供货要求：采购人根据实际要求，列出一份次日需要采购的食材采购清单，中标人应在收到采购人发出供货通知后，最迟在次日上午8:20提供当次现场供货。</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★7.紧急供货要求：中标人在收到采购人发出紧急供货通知后，最迟2小时内完成当次现场供货。</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8.供应商应具有集体用餐配送能力，如遇</w:t>
            </w:r>
            <w:bookmarkStart w:id="2" w:name="OLE_LINK17"/>
            <w:r>
              <w:rPr>
                <w:rFonts w:hint="eastAsia" w:ascii="宋体" w:hAnsi="宋体" w:eastAsia="宋体" w:cs="Times New Roman"/>
                <w:color w:val="000000"/>
                <w:szCs w:val="21"/>
              </w:rPr>
              <w:t>停水、停电、停气及其他突发情况导致食堂无法及时配餐的情况下，供应商能够及时为食堂配餐</w:t>
            </w:r>
            <w:bookmarkEnd w:id="2"/>
            <w:r>
              <w:rPr>
                <w:rFonts w:hint="eastAsia" w:ascii="宋体" w:hAnsi="宋体" w:eastAsia="宋体" w:cs="Times New Roman"/>
                <w:color w:val="000000"/>
                <w:szCs w:val="21"/>
              </w:rPr>
              <w:t>。</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9.中标人必须按照采购人食堂采购人员通知的时间、数量、品种、品质要求及协定的价格准时送货，经验收合格后签字确认，不能以任何理由推脱，一旦影响到采购人食堂的正常运转，中标人承担相应的经济赔偿。</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10.中标人不能满足供货要求时，应提前一个月通知采购人，采购人同意后方可终止合同。</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（四）其他与要求：</w:t>
            </w:r>
          </w:p>
          <w:p>
            <w:pPr>
              <w:adjustRightInd w:val="0"/>
              <w:snapToGrid w:val="0"/>
              <w:spacing w:line="40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1.合同履约过程中，中标人破产或被市场监督管理部门撤销食品经营许可证的，采购人有权解除合同，造成损失的由中标人赔偿。</w:t>
            </w:r>
          </w:p>
          <w:p>
            <w:pPr>
              <w:ind w:firstLine="420" w:firstLineChars="200"/>
              <w:rPr>
                <w:color w:val="000000" w:themeColor="text1"/>
                <w14:textFill>
                  <w14:solidFill>
                    <w14:schemeClr w14:val="tx1"/>
                  </w14:solidFill>
                </w14:textFill>
              </w:rPr>
            </w:pPr>
            <w:r>
              <w:rPr>
                <w:rFonts w:hint="eastAsia" w:ascii="宋体" w:hAnsi="宋体" w:eastAsia="宋体" w:cs="Times New Roman"/>
                <w:color w:val="000000"/>
                <w:szCs w:val="21"/>
              </w:rPr>
              <w:t>2.因政策变化或执行上级文件要求，导致食堂无法运转，合同无法履行的，采购人有权解除合同且不承担违约责任。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序号</w:t>
            </w:r>
          </w:p>
        </w:tc>
        <w:tc>
          <w:tcPr>
            <w:tcW w:w="37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napToGrid w:val="0"/>
              <w:spacing w:line="3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标的名称</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数量</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napToGrid w:val="0"/>
              <w:spacing w:line="3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365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技术需求或者服务要求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numPr>
                <w:ilvl w:val="0"/>
                <w:numId w:val="2"/>
              </w:numPr>
              <w:spacing w:line="380" w:lineRule="exact"/>
              <w:jc w:val="center"/>
              <w:rPr>
                <w:rFonts w:ascii="宋体" w:hAnsi="宋体" w:eastAsia="宋体" w:cs="宋体"/>
                <w:color w:val="000000" w:themeColor="text1"/>
                <w:szCs w:val="21"/>
                <w14:textFill>
                  <w14:solidFill>
                    <w14:schemeClr w14:val="tx1"/>
                  </w14:solidFill>
                </w14:textFill>
              </w:rPr>
            </w:pPr>
          </w:p>
        </w:tc>
        <w:tc>
          <w:tcPr>
            <w:tcW w:w="37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生鲜类食材</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
                <w:color w:val="000000" w:themeColor="text1"/>
                <w:szCs w:val="21"/>
                <w14:textFill>
                  <w14:solidFill>
                    <w14:schemeClr w14:val="tx1"/>
                  </w14:solidFill>
                </w14:textFill>
              </w:rPr>
            </w:pPr>
            <w:r>
              <w:rPr>
                <w:rFonts w:hint="eastAsia" w:ascii="宋体" w:hAnsi="宋体" w:eastAsia="宋体" w:cs="??"/>
                <w:color w:val="000000" w:themeColor="text1"/>
                <w:szCs w:val="21"/>
                <w14:textFill>
                  <w14:solidFill>
                    <w14:schemeClr w14:val="tx1"/>
                  </w14:solidFill>
                </w14:textFill>
              </w:rPr>
              <w:t>批</w:t>
            </w:r>
          </w:p>
        </w:tc>
        <w:tc>
          <w:tcPr>
            <w:tcW w:w="3651" w:type="pct"/>
            <w:tcBorders>
              <w:top w:val="single" w:color="auto" w:sz="4" w:space="0"/>
              <w:left w:val="single" w:color="auto" w:sz="4" w:space="0"/>
              <w:right w:val="single" w:color="auto" w:sz="4" w:space="0"/>
            </w:tcBorders>
            <w:tcMar>
              <w:top w:w="13" w:type="dxa"/>
              <w:left w:w="57" w:type="dxa"/>
              <w:bottom w:w="0" w:type="dxa"/>
              <w:right w:w="57" w:type="dxa"/>
            </w:tcMar>
            <w:vAlign w:val="center"/>
          </w:tcPr>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一、采购内容</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（一）生鲜类食材包括但不限于：新鲜肉类、禽类、蛋类、果蔬类、海鲜鱼类、冻品类、农副产品等。</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二、具体要求</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（一）禽畜类（含鸡、鸭、鹅、猪、牛、羊等肉类）产品总体质量要求：</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所供货物应保持较好的外观和质量等级，符合国家食品部门的有关标准，保证无异味、无霉烂变质，供货时须提交验收单及当批次有效的动物检疫合格证复印件，鲜肉确保每日新鲜，冷冻肉要求肉体冻实而坚硬，无化冻现象，肉质紧密而有弹性，色泽均匀，不粘手，交货时干净、新鲜、无异味。</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2.所有货物规格符合采购人提交的日采购计划中明确的具体需求。</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3.冷冻禽类解冻后净重量不少于 90％，冷冻肉类解冻后净重量不少于 92%，解冻时间为 4 小时以内（室温 20℃）。所有冷冻要求清晰列出产品品牌、规格、类型、包装方式、包装净重、含冰量等相关参数。</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4.熟食包括烧鸡、烧鸭、烧鹅等。熟食（特别是鲜制熟食）保质期较短，保鲜要求高，供应的熟食需保证产品的品质。</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5.家禽类交货时提供本批次产品的出厂（库）检验合格证明，随车同行，供货时提供《产品合格证》；肉制品出具半年内有效的《卫生检疫报告》及《产品合格证》。</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（二）水产海鲜类：</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2.虾的头胸甲与躯干连接紧密，无断头现象。虾身清洁无污染无异味，虾眼突起，虾身较挺，肉质坚实；虾壳发亮、发硬，呈青绿色或青白色。</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3.黄鳝要体态完整，体色正常，在水中朝上直立，捞离水后，挣扎有力，身上粘度较多，个体较大。</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4.贝壳类要求肉质新鲜，无臭味，两贝壳相碰发出实响，且响声均匀，在静水中会伸出触角；表面清洁完整，无寄生物，外观完美，有光泽。</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5.冷冻水产类解冻后净重量不少于 82%，解冻时间为 4 小时以内（室温 20℃）。所有冷冻要求清晰列出产品品牌、规格、类型、包装方式、包装净重、含冰量等相关参数。</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6.水产品供货时须出具贮存地的出入库检疫证明。</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（三）蔬菜类 ：</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1.中标人每天的供应按采购人提出的品种要求和计划数量进行供应。</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2.属季节问题，若出现品种不能满足采购人需求的情况，可与采购人协商调换相应类别的品种（按叶菜、瓜菜等进行分类）。</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3.蔬菜类应保持较好的色泽和新鲜度,利用率达到 95%。严禁采购有害、有毒、腐烂变质、酸败、霉变、生虫、污垢不洁、混有异物或其他感官性状异常的。蔬菜应无损伤、腐烂现象，无寄生虫或已受虫害现象。禁止采购超过保质期限的。</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4.蔬菜包装与标志要求：</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包装：容器(框、箱、袋)要求清洁、干燥、牢固、透气，无污染、无异味、无霉变现象；标志：每件包装须按《农产品包装和标识管理办法》贴标签，并标明产地、品种、净含量、生产单位及地址和采收日期。</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5.供应链要求：所有的来源须清晰。蔬菜来源应当在受到地方政府部门监管的自有基地、商品菜基地或蔬菜专业流通市场，严禁收购散户农民的蔬菜供应。</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6.对蔬菜生产商的管理要求：菜地配有专用的农药喷洒用具及其他农用器具；蔬菜采收后需用清洁、无污染的运输工具运抵加工地点。</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7.对蔬菜生产商环境要求：菜地周围需设有隔离网、隔离带或其他有效的隔离措施，确保不受临近农田施肥和用药污染；菜地周围无养殖场、化工厂、垃圾处理场、医院以及污水排放管道等污染源。</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8.对蔬菜生产商水源要求：菜地应有清洁无污染的灌溉水源；灌溉水井设有防护设施。灌溉水源需经检测验证符合规定要求，并一年内在蔬菜种植过程对水源进行 2 次监测。</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9.农药要求：种植使用的农药须符合安全管理部门的规定，严禁使用违禁药物；农药的采购、保管、发放、使用须建立记录；</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10.要求中标人的配送半径能够严格保证采购人在货物使用时间上的安排以及保证货物新鲜。</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11.蔬菜卫生质量要求：卫生质量指标，应符合我国无公害蔬菜上的卫生指标规定。</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（四）产品配送</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1.运输须采用符合卫生标准的外包装和运载工具，并且要保持清洁和定期消毒。运输车厢的内仓，包括地面、墙面和顶，应使用抗腐蚀、防潮，易清洁消毒的材料。车厢内无不良气味、异味。</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禽畜类、海产品类、蔬菜类食材必须用冷藏功能正常且干净、整洁、卫生、无异味的冷藏车配送。冷藏车在配送过程中保持安全的冷藏、冷冻温度。特别是对于长途运输的，保证在运输全过程处于合适的温度范围。整个运输过程应科学合理，运输车辆应定期清洁，保持性能稳定，符合规定的温度要求，使运输处于恒定的环境中。</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3.禽畜类、海产品类、蔬菜类食材用冷藏车配送，保证肉类中心温度控制在-2℃ 至 7℃的范围之内，保证运输过程冷链不中断。商品到达目的地时外包装箱干爽，无软化现象。送货车辆应保持清洁；堆放科学合理，避免造成的交叉污染；如对温度有要求的食品应确定的温度，记录送货车辆温度，并记录存档。在本环节中应保证冷藏脱离冷链时间不得超过20分钟，冷冻脱离冷链时间不得超过 30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numPr>
                <w:ilvl w:val="0"/>
                <w:numId w:val="2"/>
              </w:numPr>
              <w:spacing w:line="380" w:lineRule="exact"/>
              <w:jc w:val="center"/>
              <w:rPr>
                <w:rFonts w:ascii="宋体" w:hAnsi="宋体" w:eastAsia="宋体" w:cs="宋体"/>
                <w:color w:val="000000" w:themeColor="text1"/>
                <w:szCs w:val="21"/>
                <w14:textFill>
                  <w14:solidFill>
                    <w14:schemeClr w14:val="tx1"/>
                  </w14:solidFill>
                </w14:textFill>
              </w:rPr>
            </w:pPr>
          </w:p>
        </w:tc>
        <w:tc>
          <w:tcPr>
            <w:tcW w:w="37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非生鲜类食材</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
                <w:color w:val="000000" w:themeColor="text1"/>
                <w:szCs w:val="21"/>
                <w14:textFill>
                  <w14:solidFill>
                    <w14:schemeClr w14:val="tx1"/>
                  </w14:solidFill>
                </w14:textFill>
              </w:rPr>
            </w:pPr>
            <w:r>
              <w:rPr>
                <w:rFonts w:hint="eastAsia" w:ascii="宋体" w:hAnsi="宋体" w:eastAsia="宋体" w:cs="??"/>
                <w:color w:val="000000" w:themeColor="text1"/>
                <w:szCs w:val="21"/>
                <w14:textFill>
                  <w14:solidFill>
                    <w14:schemeClr w14:val="tx1"/>
                  </w14:solidFill>
                </w14:textFill>
              </w:rPr>
              <w:t>批</w:t>
            </w:r>
          </w:p>
        </w:tc>
        <w:tc>
          <w:tcPr>
            <w:tcW w:w="3651" w:type="pct"/>
            <w:tcBorders>
              <w:left w:val="single" w:color="auto" w:sz="4" w:space="0"/>
              <w:bottom w:val="single" w:color="auto" w:sz="4" w:space="0"/>
              <w:right w:val="single" w:color="auto" w:sz="4" w:space="0"/>
            </w:tcBorders>
            <w:tcMar>
              <w:top w:w="13" w:type="dxa"/>
              <w:left w:w="57" w:type="dxa"/>
              <w:bottom w:w="0" w:type="dxa"/>
              <w:right w:w="57" w:type="dxa"/>
            </w:tcMar>
            <w:vAlign w:val="center"/>
          </w:tcPr>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一、采购内容</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（一）非生鲜类食材：包括但不限于：粮食类（米、面、粉、豆类）、干杂类、调味品类、油类（调和油、花生油）、奶制品类等。</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二、具体要求</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（一）米、油、面、豆类</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总体要求：货物须符合卫生，不得有腐烂、变质、油脂酸败、霉变、生虫、污秽不洁、混有异物或者其他感官性状异常，并可能对人体健康有害的物质。散装粉、面需提供生产厂家营业执照、食品经营许可证、产品检验合格证书。</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2.米、油：供货时要提供产品检验合格证书。包装：包装箱完整， 同时包装箱要印有注册商标、生产厂家名称、厂址、出厂日期、产品合格证、保质期限、产品成分、厂家电话号码。</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3.散装豆类：供货时提供生产厂家营业执照、食品经营许可证、产品检验合格证书。中标人所提供产品质量须要符合行业标准要求，不得有掺假、变质、变味、过期等现象出现，严禁伪劣、假冒、无证不合格物品进入仓库。</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4.中标人在供应过程中，如果发生出现质量问题或造成食物中毒，如变质等情况，经查实后确属中标人责任，中标人应承担全部责任，主要包括食物中毒人员医疗费、误工费、事故处理费等，直至追究刑事责任。</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（二）干货</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（三）奶制品</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1.质量符合国家《中华人民共和国食品安全法》等法律法规的规定和相关行业国家标准以及卫生质量要求，做到渠道合法、来源明晰、品质优良、新鲜卫生。</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包装：包装箱完整，同时包装箱要印有注册商标、生产厂家名称、厂址、出厂日期、产品合格证、保质期限、产品成分、厂家电话号码。供货时提供生产厂家营业执照、食品经营许可证、产品检验合格证书。中标人所提供产品质量需要符合行业标准要求，不得有掺假、变质、变味、过期等现象出现，严禁伪劣、假冒、无证不合格物品进入仓库。</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（四）产品配送</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1.运输须采用符合卫生标准的外包装和运载工具，并且要保持清洁和定期消毒。运输车厢的内仓，包括地面、墙面和顶，应使用抗腐蚀、防潮，易清洁消毒的材料。车厢内无不良气味、异味。</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2.干货类食材需用干净、整洁、卫生、无异味的货车运送。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lef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w:t>
            </w:r>
            <w:r>
              <w:rPr>
                <w:rFonts w:hint="eastAsia" w:ascii="宋体" w:hAnsi="宋体" w:eastAsia="宋体" w:cs="Calibri"/>
                <w:color w:val="000000" w:themeColor="text1"/>
                <w:szCs w:val="21"/>
                <w14:textFill>
                  <w14:solidFill>
                    <w14:schemeClr w14:val="tx1"/>
                  </w14:solidFill>
                </w14:textFill>
              </w:rPr>
              <w:t>★</w:t>
            </w:r>
            <w:r>
              <w:rPr>
                <w:rFonts w:hint="eastAsia" w:ascii="宋体" w:hAnsi="宋体" w:eastAsia="宋体" w:cs="宋体"/>
                <w:b/>
                <w:color w:val="000000" w:themeColor="text1"/>
                <w:szCs w:val="21"/>
                <w14:textFill>
                  <w14:solidFill>
                    <w14:schemeClr w14:val="tx1"/>
                  </w14:solidFill>
                </w14:textFill>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690" w:type="pct"/>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Times New Roman" w:eastAsia="宋体" w:cs="Calibri"/>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合同签订日期</w:t>
            </w:r>
          </w:p>
        </w:tc>
        <w:tc>
          <w:tcPr>
            <w:tcW w:w="3966"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Times New Roman" w:eastAsia="宋体" w:cs="Calibri"/>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中标</w:t>
            </w:r>
            <w:r>
              <w:rPr>
                <w:rFonts w:hint="eastAsia" w:ascii="Arial" w:hAnsi="Arial" w:eastAsia="宋体" w:cs="Arial"/>
                <w:color w:val="000000" w:themeColor="text1"/>
                <w:szCs w:val="21"/>
                <w14:textFill>
                  <w14:solidFill>
                    <w14:schemeClr w14:val="tx1"/>
                  </w14:solidFill>
                </w14:textFill>
              </w:rPr>
              <w:t>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690" w:type="pct"/>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合同履约时间、交货地点</w:t>
            </w:r>
          </w:p>
        </w:tc>
        <w:tc>
          <w:tcPr>
            <w:tcW w:w="3966"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合同履约时间（供货期）：1年。</w:t>
            </w:r>
          </w:p>
          <w:p>
            <w:pPr>
              <w:widowControl/>
              <w:jc w:val="left"/>
              <w:rPr>
                <w:rFonts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交货地点：</w:t>
            </w:r>
          </w:p>
          <w:p>
            <w:pPr>
              <w:widowControl/>
              <w:jc w:val="left"/>
              <w:rPr>
                <w:rFonts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（1）南宁市</w:t>
            </w:r>
            <w:r>
              <w:rPr>
                <w:rFonts w:hint="eastAsia" w:ascii="宋体" w:hAnsi="宋体" w:eastAsia="宋体" w:cs="Calibri"/>
                <w:color w:val="000000" w:themeColor="text1"/>
                <w:szCs w:val="21"/>
                <w:lang w:eastAsia="zh-CN"/>
                <w14:textFill>
                  <w14:solidFill>
                    <w14:schemeClr w14:val="tx1"/>
                  </w14:solidFill>
                </w14:textFill>
              </w:rPr>
              <w:t>青秀区</w:t>
            </w:r>
            <w:r>
              <w:rPr>
                <w:rFonts w:hint="eastAsia" w:ascii="宋体" w:hAnsi="宋体" w:eastAsia="宋体" w:cs="Calibri"/>
                <w:color w:val="000000" w:themeColor="text1"/>
                <w:szCs w:val="21"/>
                <w14:textFill>
                  <w14:solidFill>
                    <w14:schemeClr w14:val="tx1"/>
                  </w14:solidFill>
                </w14:textFill>
              </w:rPr>
              <w:t>民族大道105号广西区税务局职工食堂。</w:t>
            </w:r>
          </w:p>
          <w:p>
            <w:pPr>
              <w:widowControl/>
              <w:jc w:val="left"/>
              <w:rPr>
                <w:rFonts w:ascii="Times New Roman" w:hAnsi="Times New Roman" w:eastAsia="宋体" w:cs="Calibri"/>
                <w:color w:val="000000" w:themeColor="text1"/>
                <w:szCs w:val="24"/>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（2）南宁市</w:t>
            </w:r>
            <w:r>
              <w:rPr>
                <w:rFonts w:hint="eastAsia" w:ascii="宋体" w:hAnsi="宋体" w:eastAsia="宋体" w:cs="Calibri"/>
                <w:color w:val="000000" w:themeColor="text1"/>
                <w:szCs w:val="21"/>
                <w:lang w:eastAsia="zh-CN"/>
                <w14:textFill>
                  <w14:solidFill>
                    <w14:schemeClr w14:val="tx1"/>
                  </w14:solidFill>
                </w14:textFill>
              </w:rPr>
              <w:t>青秀区</w:t>
            </w:r>
            <w:r>
              <w:rPr>
                <w:rFonts w:hint="eastAsia" w:ascii="宋体" w:hAnsi="宋体" w:eastAsia="宋体" w:cs="Calibri"/>
                <w:color w:val="000000" w:themeColor="text1"/>
                <w:szCs w:val="21"/>
                <w14:textFill>
                  <w14:solidFill>
                    <w14:schemeClr w14:val="tx1"/>
                  </w14:solidFill>
                </w14:textFill>
              </w:rPr>
              <w:t xml:space="preserve">园湖南路20号广西区税务局职工食堂。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690"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宋体" w:cs="Calibri"/>
                <w:color w:val="000000" w:themeColor="text1"/>
                <w:szCs w:val="24"/>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报价要求</w:t>
            </w:r>
          </w:p>
        </w:tc>
        <w:tc>
          <w:tcPr>
            <w:tcW w:w="3966" w:type="pct"/>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（1）报价包含食材、包装、仓储、运输装卸、检验、验收合格之前及保修期与食材配套服务的价格，以及与本项目有关的其他费用，采购人将不再额外支付其他任何费用：</w:t>
            </w:r>
          </w:p>
          <w:p>
            <w:pPr>
              <w:widowControl/>
              <w:spacing w:line="380" w:lineRule="exact"/>
              <w:ind w:firstLine="420" w:firstLineChars="200"/>
              <w:jc w:val="left"/>
              <w:rPr>
                <w:color w:val="000000" w:themeColor="text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2）超出采购预算价的，作无效标处理。评标委员会认为投标人的报价明显低于其他通过符合性审查投标人的报价，有可能影响产品质量或者不能诚信履约的，应当要求其在评审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690"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Times New Roman" w:eastAsia="宋体" w:cs="Calibri"/>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结算付款方式</w:t>
            </w:r>
          </w:p>
        </w:tc>
        <w:tc>
          <w:tcPr>
            <w:tcW w:w="3966" w:type="pct"/>
            <w:gridSpan w:val="2"/>
            <w:tcBorders>
              <w:top w:val="single" w:color="auto" w:sz="4" w:space="0"/>
              <w:left w:val="single" w:color="auto" w:sz="4" w:space="0"/>
              <w:bottom w:val="single" w:color="auto" w:sz="4" w:space="0"/>
              <w:right w:val="single" w:color="auto" w:sz="4" w:space="0"/>
            </w:tcBorders>
            <w:vAlign w:val="center"/>
          </w:tcPr>
          <w:p>
            <w:pPr>
              <w:widowControl/>
              <w:suppressAutoHyphens/>
              <w:spacing w:line="380" w:lineRule="exact"/>
              <w:ind w:firstLine="420" w:firstLineChars="200"/>
              <w:jc w:val="left"/>
              <w:rPr>
                <w:color w:val="000000" w:themeColor="text1"/>
                <w14:textFill>
                  <w14:solidFill>
                    <w14:schemeClr w14:val="tx1"/>
                  </w14:solidFill>
                </w14:textFill>
              </w:rPr>
            </w:pPr>
            <w:bookmarkStart w:id="3" w:name="OLE_LINK15"/>
            <w:r>
              <w:rPr>
                <w:rFonts w:hint="eastAsia"/>
                <w:color w:val="000000" w:themeColor="text1"/>
                <w14:textFill>
                  <w14:solidFill>
                    <w14:schemeClr w14:val="tx1"/>
                  </w14:solidFill>
                </w14:textFill>
              </w:rPr>
              <w:t>（1）结算要求：本项目所有配送价格以农副产品--民生物价公示系统(网址：http://117.141.2.144:8085/home）中的各类食材品种的每日价格均价（不含超市价格）或附件2规定的上控单价为依据，将民生物价公示系统均价或附件2规定的上控单价乘以（1-下浮系数）确定各类食材核定价（周末没有价格公示，将延续周五的价格进行结算）。即：各类食材核定价=民生物价公示系统均价或附件2规定的上控单价×（1-下浮系数）</w:t>
            </w:r>
            <w:bookmarkEnd w:id="3"/>
            <w:r>
              <w:rPr>
                <w:rFonts w:hint="eastAsia"/>
                <w:color w:val="000000" w:themeColor="text1"/>
                <w14:textFill>
                  <w14:solidFill>
                    <w14:schemeClr w14:val="tx1"/>
                  </w14:solidFill>
                </w14:textFill>
              </w:rPr>
              <w:t xml:space="preserve">，每月按照公对公账户方式进行结算。 </w:t>
            </w:r>
          </w:p>
          <w:p>
            <w:pPr>
              <w:widowControl/>
              <w:suppressAutoHyphens/>
              <w:spacing w:line="38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p>
          <w:p>
            <w:pPr>
              <w:widowControl/>
              <w:suppressAutoHyphens/>
              <w:spacing w:line="380" w:lineRule="exact"/>
              <w:ind w:firstLine="420" w:firstLineChars="200"/>
              <w:jc w:val="left"/>
              <w:rPr>
                <w:color w:val="000000" w:themeColor="text1"/>
                <w14:textFill>
                  <w14:solidFill>
                    <w14:schemeClr w14:val="tx1"/>
                  </w14:solidFill>
                </w14:textFill>
              </w:rPr>
            </w:pPr>
            <w:bookmarkStart w:id="4" w:name="OLE_LINK16"/>
            <w:r>
              <w:rPr>
                <w:rFonts w:hint="eastAsia"/>
                <w:color w:val="000000" w:themeColor="text1"/>
                <w14:textFill>
                  <w14:solidFill>
                    <w14:schemeClr w14:val="tx1"/>
                  </w14:solidFill>
                </w14:textFill>
              </w:rPr>
              <w:t>①如食材不在民生物价公示系统的公示范围内，则以附件2确定的上控单价为基准计算各类食材核定价。</w:t>
            </w:r>
          </w:p>
          <w:p>
            <w:pPr>
              <w:widowControl/>
              <w:suppressAutoHyphens/>
              <w:spacing w:line="38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②如果所购的食材品种不在民生物价公示系统或附件2规定的范围内，则参考淡村市场价格为准，由采购人</w:t>
            </w:r>
            <w:r>
              <w:rPr>
                <w:rFonts w:hint="eastAsia"/>
                <w:color w:val="000000" w:themeColor="text1"/>
                <w:lang w:val="en-US" w:eastAsia="zh-CN"/>
                <w14:textFill>
                  <w14:solidFill>
                    <w14:schemeClr w14:val="tx1"/>
                  </w14:solidFill>
                </w14:textFill>
              </w:rPr>
              <w:t>和中标人</w:t>
            </w:r>
            <w:r>
              <w:rPr>
                <w:rFonts w:hint="eastAsia"/>
                <w:color w:val="000000" w:themeColor="text1"/>
                <w14:textFill>
                  <w14:solidFill>
                    <w14:schemeClr w14:val="tx1"/>
                  </w14:solidFill>
                </w14:textFill>
              </w:rPr>
              <w:t>以市场调查价格的方式确定。</w:t>
            </w:r>
          </w:p>
          <w:p>
            <w:pPr>
              <w:widowControl/>
              <w:suppressAutoHyphens/>
              <w:spacing w:line="38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③如中标人价格超出合理范畴，将以采购人局机关后勤管理自治小组或食材采购审核监督小组市场调研的价格为标准，核定供货价格。</w:t>
            </w:r>
            <w:bookmarkEnd w:id="4"/>
          </w:p>
          <w:p>
            <w:pPr>
              <w:widowControl/>
              <w:suppressAutoHyphens/>
              <w:spacing w:line="38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（2）付款方式：</w:t>
            </w:r>
          </w:p>
          <w:p>
            <w:pPr>
              <w:widowControl/>
              <w:suppressAutoHyphens/>
              <w:spacing w:line="38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不设预付款。中标人应于次月5个工作日前，向采购人提交当月的结算账单。账单内容需包括但不限于食材清单、数量、单位、单价及小计、总计等详细信息。采购人在收到结算账单之日起10个工作日内完成核对工作。核对无误并经双方签字确认后10个工作日内（如遇节假日则相应顺延），采购人按相关支付程序向中标人支付当月货款。</w:t>
            </w:r>
          </w:p>
          <w:p>
            <w:pPr>
              <w:widowControl/>
              <w:suppressAutoHyphens/>
              <w:spacing w:line="380" w:lineRule="exact"/>
              <w:ind w:firstLine="420" w:firstLineChars="200"/>
              <w:jc w:val="left"/>
              <w:rPr>
                <w:rFonts w:ascii="Times New Roman" w:hAnsi="Times New Roman" w:eastAsia="宋体" w:cs="Calibri"/>
                <w:color w:val="000000" w:themeColor="text1"/>
                <w:szCs w:val="21"/>
                <w14:textFill>
                  <w14:solidFill>
                    <w14:schemeClr w14:val="tx1"/>
                  </w14:solidFill>
                </w14:textFill>
              </w:rPr>
            </w:pPr>
            <w:r>
              <w:rPr>
                <w:rFonts w:hint="eastAsia"/>
                <w:color w:val="000000" w:themeColor="text1"/>
                <w14:textFill>
                  <w14:solidFill>
                    <w14:schemeClr w14:val="tx1"/>
                  </w14:solidFill>
                </w14:textFill>
              </w:rPr>
              <w:t>采购人付款前，中标人应向采购人开具等额有效的增值税发票，采购人收到发票后10个工作日内将合同款项支付到合同约定的中标人账户；采购人未收到合格发票的，有权不予支付，并不承担延迟付款责任。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690"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Arial" w:hAnsi="Arial" w:eastAsia="宋体" w:cs="Arial"/>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验收方式及标准</w:t>
            </w:r>
          </w:p>
        </w:tc>
        <w:tc>
          <w:tcPr>
            <w:tcW w:w="3966" w:type="pct"/>
            <w:gridSpan w:val="2"/>
            <w:tcBorders>
              <w:top w:val="single" w:color="auto" w:sz="4" w:space="0"/>
              <w:left w:val="single" w:color="auto" w:sz="4" w:space="0"/>
              <w:bottom w:val="single" w:color="auto" w:sz="4" w:space="0"/>
              <w:right w:val="single" w:color="auto" w:sz="4" w:space="0"/>
            </w:tcBorders>
          </w:tcPr>
          <w:p>
            <w:pPr>
              <w:widowControl/>
              <w:spacing w:line="38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（1）验收条件</w:t>
            </w:r>
          </w:p>
          <w:p>
            <w:pPr>
              <w:widowControl/>
              <w:spacing w:line="38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本项目采购需求中包含的货物、服务文档满足本采购文件的规定要求。</w:t>
            </w:r>
          </w:p>
          <w:p>
            <w:pPr>
              <w:widowControl/>
              <w:spacing w:line="38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（2）验收标准</w:t>
            </w:r>
          </w:p>
          <w:p>
            <w:pPr>
              <w:widowControl/>
              <w:spacing w:line="38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项目采购需求中相关内容及其要求为依据，作为项目验收标准。中标人是否按照本招标需求书中定义的各项要求开展各项工作，工作流程和结果是否符合采购人质量管理要求，是否在规定时间内提交相关工作文档。</w:t>
            </w:r>
          </w:p>
          <w:p>
            <w:pPr>
              <w:widowControl/>
              <w:spacing w:line="38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（3）验收流程</w:t>
            </w:r>
          </w:p>
          <w:p>
            <w:pPr>
              <w:widowControl/>
              <w:spacing w:line="38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食材的验收工作由采购人和中标人、食堂服务</w:t>
            </w:r>
            <w:r>
              <w:rPr>
                <w:rFonts w:hint="eastAsia" w:ascii="宋体" w:hAnsi="宋体" w:cs="宋体"/>
                <w:color w:val="000000" w:themeColor="text1"/>
                <w:szCs w:val="21"/>
                <w:lang w:eastAsia="zh-CN"/>
                <w14:textFill>
                  <w14:solidFill>
                    <w14:schemeClr w14:val="tx1"/>
                  </w14:solidFill>
                </w14:textFill>
              </w:rPr>
              <w:t>三</w:t>
            </w:r>
            <w:r>
              <w:rPr>
                <w:rFonts w:hint="eastAsia" w:ascii="宋体" w:hAnsi="宋体" w:cs="宋体"/>
                <w:color w:val="000000" w:themeColor="text1"/>
                <w:szCs w:val="21"/>
                <w14:textFill>
                  <w14:solidFill>
                    <w14:schemeClr w14:val="tx1"/>
                  </w14:solidFill>
                </w14:textFill>
              </w:rPr>
              <w:t>方以《机关食堂采购验收管理办法》进行验收。食堂工作人员和食堂管理人员按采购计划清单对食材逐项按验收标准检查品质、逐项称重，避免缺斤少两、以次充好。中标人提供的产品须经过食堂验收人的感官检验、外观检验和试用检验，若产品外观、包装、形式不符合要求、感官检验不能达到食品</w:t>
            </w:r>
            <w:r>
              <w:rPr>
                <w:rFonts w:hint="eastAsia" w:ascii="宋体" w:hAnsi="宋体" w:cs="宋体"/>
                <w:color w:val="000000" w:themeColor="text1"/>
                <w:szCs w:val="21"/>
                <w:lang w:eastAsia="zh-CN"/>
                <w14:textFill>
                  <w14:solidFill>
                    <w14:schemeClr w14:val="tx1"/>
                  </w14:solidFill>
                </w14:textFill>
              </w:rPr>
              <w:t>质量和</w:t>
            </w:r>
            <w:r>
              <w:rPr>
                <w:rFonts w:hint="eastAsia" w:ascii="宋体" w:hAnsi="宋体" w:cs="宋体"/>
                <w:color w:val="000000" w:themeColor="text1"/>
                <w:szCs w:val="21"/>
                <w14:textFill>
                  <w14:solidFill>
                    <w14:schemeClr w14:val="tx1"/>
                  </w14:solidFill>
                </w14:textFill>
              </w:rPr>
              <w:t>卫生要求，当即拒收，中标人不能满足食品的质量及售后服务要求时，采购人有权进行解除或终止合同。</w:t>
            </w:r>
          </w:p>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验收工作的一般程序为：根据食品请购清单的具体要求，对所购食材进行清点、外观检查以及对物料的各项指标和性能进行实测，并逐项记录。检测结束后，三方验收签字确认。对未能通过验收的，一律退货、更换直至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690"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售后服务要求</w:t>
            </w:r>
          </w:p>
        </w:tc>
        <w:tc>
          <w:tcPr>
            <w:tcW w:w="3966" w:type="pct"/>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.中标人负责所供产品的售后服务，</w:t>
            </w:r>
            <w:bookmarkStart w:id="5" w:name="OLE_LINK27"/>
            <w:r>
              <w:rPr>
                <w:rFonts w:ascii="宋体" w:hAnsi="宋体" w:cs="宋体"/>
                <w:color w:val="000000" w:themeColor="text1"/>
                <w:szCs w:val="21"/>
                <w14:textFill>
                  <w14:solidFill>
                    <w14:schemeClr w14:val="tx1"/>
                  </w14:solidFill>
                </w14:textFill>
              </w:rPr>
              <w:t>按照国家“三包”规定，负责未食用</w:t>
            </w:r>
            <w:r>
              <w:rPr>
                <w:rFonts w:hint="eastAsia" w:ascii="宋体" w:hAnsi="宋体" w:cs="宋体"/>
                <w:color w:val="000000" w:themeColor="text1"/>
                <w:szCs w:val="21"/>
                <w14:textFill>
                  <w14:solidFill>
                    <w14:schemeClr w14:val="tx1"/>
                  </w14:solidFill>
                </w14:textFill>
              </w:rPr>
              <w:t>食品</w:t>
            </w:r>
            <w:r>
              <w:rPr>
                <w:rFonts w:ascii="宋体" w:hAnsi="宋体" w:cs="宋体"/>
                <w:color w:val="000000" w:themeColor="text1"/>
                <w:szCs w:val="21"/>
                <w14:textFill>
                  <w14:solidFill>
                    <w14:schemeClr w14:val="tx1"/>
                  </w14:solidFill>
                </w14:textFill>
              </w:rPr>
              <w:t>的质保服务，质量保证期不低于</w:t>
            </w:r>
            <w:r>
              <w:rPr>
                <w:rFonts w:hint="eastAsia" w:ascii="宋体" w:hAnsi="宋体" w:cs="宋体"/>
                <w:color w:val="000000" w:themeColor="text1"/>
                <w:szCs w:val="21"/>
                <w14:textFill>
                  <w14:solidFill>
                    <w14:schemeClr w14:val="tx1"/>
                  </w14:solidFill>
                </w14:textFill>
              </w:rPr>
              <w:t>1年</w:t>
            </w:r>
            <w:bookmarkEnd w:id="5"/>
            <w:r>
              <w:rPr>
                <w:rFonts w:ascii="宋体" w:hAnsi="宋体" w:cs="宋体"/>
                <w:color w:val="000000" w:themeColor="text1"/>
                <w:szCs w:val="21"/>
                <w14:textFill>
                  <w14:solidFill>
                    <w14:schemeClr w14:val="tx1"/>
                  </w14:solidFill>
                </w14:textFill>
              </w:rPr>
              <w:t>。如出现质量问题，负责退换货。</w:t>
            </w:r>
          </w:p>
          <w:p>
            <w:pPr>
              <w:autoSpaceDE w:val="0"/>
              <w:autoSpaceDN w:val="0"/>
              <w:adjustRightInd w:val="0"/>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.投标人拟投入的</w:t>
            </w:r>
            <w:r>
              <w:rPr>
                <w:rFonts w:hint="eastAsia" w:ascii="宋体" w:hAnsi="宋体" w:cs="宋体"/>
                <w:color w:val="000000" w:themeColor="text1"/>
                <w:szCs w:val="21"/>
                <w14:textFill>
                  <w14:solidFill>
                    <w14:schemeClr w14:val="tx1"/>
                  </w14:solidFill>
                </w14:textFill>
              </w:rPr>
              <w:t>冷链车及普通货车各不少于2辆。</w:t>
            </w:r>
          </w:p>
          <w:p>
            <w:pPr>
              <w:autoSpaceDE w:val="0"/>
              <w:autoSpaceDN w:val="0"/>
              <w:adjustRightInd w:val="0"/>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拟投入本项目的人员的要求必须四名以上（含四名）正式员工办理健康证明（投标文件中提供材料证明和员工的劳动合同复印件）</w:t>
            </w:r>
          </w:p>
          <w:p>
            <w:pPr>
              <w:autoSpaceDE w:val="0"/>
              <w:autoSpaceDN w:val="0"/>
              <w:adjustRightInd w:val="0"/>
              <w:spacing w:line="380" w:lineRule="exact"/>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w:t>
            </w:r>
            <w:r>
              <w:rPr>
                <w:rFonts w:hint="eastAsia"/>
              </w:rPr>
              <w:t>投标人需要购买</w:t>
            </w:r>
            <w:r>
              <w:rPr>
                <w:rFonts w:hint="eastAsia" w:ascii="宋体" w:hAnsi="宋体" w:cs="宋体"/>
                <w:color w:val="000000" w:themeColor="text1"/>
                <w:szCs w:val="21"/>
                <w14:textFill>
                  <w14:solidFill>
                    <w14:schemeClr w14:val="tx1"/>
                  </w14:solidFill>
                </w14:textFill>
              </w:rPr>
              <w:t>《食品安全责任保险》，以保障采购人的合法权益，购买的赔付金额不少于4</w:t>
            </w:r>
            <w:r>
              <w:rPr>
                <w:rFonts w:ascii="宋体" w:hAnsi="宋体" w:cs="宋体"/>
                <w:color w:val="000000" w:themeColor="text1"/>
                <w:szCs w:val="21"/>
                <w14:textFill>
                  <w14:solidFill>
                    <w14:schemeClr w14:val="tx1"/>
                  </w14:solidFill>
                </w14:textFill>
              </w:rPr>
              <w:t>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690"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3966" w:type="pct"/>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中标人按照固定金额：人民币（大写）</w:t>
            </w:r>
            <w:r>
              <w:rPr>
                <w:rFonts w:hint="eastAsia" w:ascii="宋体" w:hAnsi="宋体" w:cs="宋体"/>
                <w:color w:val="000000" w:themeColor="text1"/>
                <w:szCs w:val="21"/>
                <w:lang w:eastAsia="zh-CN"/>
                <w14:textFill>
                  <w14:solidFill>
                    <w14:schemeClr w14:val="tx1"/>
                  </w14:solidFill>
                </w14:textFill>
              </w:rPr>
              <w:t>捌</w:t>
            </w:r>
            <w:r>
              <w:rPr>
                <w:rFonts w:hint="eastAsia" w:ascii="宋体" w:hAnsi="宋体" w:cs="宋体"/>
                <w:color w:val="000000" w:themeColor="text1"/>
                <w:szCs w:val="21"/>
                <w14:textFill>
                  <w14:solidFill>
                    <w14:schemeClr w14:val="tx1"/>
                  </w14:solidFill>
                </w14:textFill>
              </w:rPr>
              <w:t>万元整（¥</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0000.00）收取。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autoSpaceDE w:val="0"/>
              <w:autoSpaceDN w:val="0"/>
              <w:adjustRightInd w:val="0"/>
              <w:spacing w:line="380" w:lineRule="exact"/>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w:t>
            </w:r>
          </w:p>
        </w:tc>
        <w:tc>
          <w:tcPr>
            <w:tcW w:w="690" w:type="pct"/>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宋体" w:hAnsi="Times New Roman" w:eastAsia="宋体" w:cs="Calibri"/>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3966" w:type="pct"/>
            <w:gridSpan w:val="2"/>
            <w:tcBorders>
              <w:top w:val="single" w:color="auto" w:sz="4" w:space="0"/>
              <w:left w:val="single" w:color="auto" w:sz="4" w:space="0"/>
              <w:bottom w:val="single" w:color="auto" w:sz="4" w:space="0"/>
              <w:right w:val="single" w:color="auto" w:sz="4" w:space="0"/>
            </w:tcBorders>
          </w:tcPr>
          <w:p>
            <w:pPr>
              <w:spacing w:line="380" w:lineRule="exact"/>
              <w:jc w:val="left"/>
              <w:rPr>
                <w:rFonts w:ascii="Times New Roman" w:hAnsi="Times New Roman" w:eastAsia="宋体" w:cs="Calibri"/>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投标人可以根据项目要求，在投标文件中提供包括但不限于：项目需求理解、食材安全措施方案、配送方案、应急方案、人员、证书、相关设备等</w:t>
            </w:r>
          </w:p>
        </w:tc>
      </w:tr>
    </w:tbl>
    <w:p>
      <w:pPr>
        <w:rPr>
          <w:color w:val="000000" w:themeColor="text1"/>
          <w14:textFill>
            <w14:solidFill>
              <w14:schemeClr w14:val="tx1"/>
            </w14:solidFill>
          </w14:textFill>
        </w:rPr>
      </w:pPr>
    </w:p>
    <w:p>
      <w:pPr>
        <w:pStyle w:val="8"/>
        <w:rPr>
          <w:color w:val="000000" w:themeColor="text1"/>
          <w14:textFill>
            <w14:solidFill>
              <w14:schemeClr w14:val="tx1"/>
            </w14:solidFill>
          </w14:textFill>
        </w:rPr>
      </w:pPr>
      <w:r>
        <w:rPr>
          <w:color w:val="000000" w:themeColor="text1"/>
          <w14:textFill>
            <w14:solidFill>
              <w14:schemeClr w14:val="tx1"/>
            </w14:solidFill>
          </w14:textFill>
        </w:rPr>
        <w:br w:type="page"/>
      </w:r>
    </w:p>
    <w:p>
      <w:pPr>
        <w:widowControl/>
        <w:spacing w:line="300" w:lineRule="auto"/>
        <w:jc w:val="left"/>
        <w:rPr>
          <w:rFonts w:ascii="Arial" w:hAnsi="Arial" w:eastAsia="宋体" w:cs="黑体"/>
          <w:color w:val="000000" w:themeColor="text1"/>
          <w:kern w:val="0"/>
          <w:szCs w:val="21"/>
          <w14:textFill>
            <w14:solidFill>
              <w14:schemeClr w14:val="tx1"/>
            </w14:solidFill>
          </w14:textFill>
        </w:rPr>
      </w:pPr>
    </w:p>
    <w:p>
      <w:pPr>
        <w:widowControl/>
        <w:spacing w:line="300" w:lineRule="auto"/>
        <w:jc w:val="left"/>
        <w:rPr>
          <w:rFonts w:ascii="Arial" w:hAnsi="Arial" w:eastAsia="宋体" w:cs="黑体"/>
          <w:color w:val="000000" w:themeColor="text1"/>
          <w:kern w:val="0"/>
          <w:szCs w:val="21"/>
          <w14:textFill>
            <w14:solidFill>
              <w14:schemeClr w14:val="tx1"/>
            </w14:solidFill>
          </w14:textFill>
        </w:rPr>
      </w:pPr>
    </w:p>
    <w:p>
      <w:pPr>
        <w:suppressAutoHyphens/>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附件</w:t>
      </w:r>
      <w:r>
        <w:rPr>
          <w:rFonts w:ascii="Times New Roman" w:hAnsi="Times New Roman" w:eastAsia="宋体" w:cs="Calibri"/>
          <w:color w:val="000000" w:themeColor="text1"/>
          <w:szCs w:val="21"/>
          <w14:textFill>
            <w14:solidFill>
              <w14:schemeClr w14:val="tx1"/>
            </w14:solidFill>
          </w14:textFill>
        </w:rPr>
        <w:t>1</w:t>
      </w:r>
      <w:r>
        <w:rPr>
          <w:rFonts w:hint="eastAsia" w:ascii="Times New Roman" w:hAnsi="Times New Roman" w:eastAsia="宋体" w:cs="Calibri"/>
          <w:color w:val="000000" w:themeColor="text1"/>
          <w:szCs w:val="21"/>
          <w14:textFill>
            <w14:solidFill>
              <w14:schemeClr w14:val="tx1"/>
            </w14:solidFill>
          </w14:textFill>
        </w:rPr>
        <w:t>：《食材质量要求》</w:t>
      </w:r>
    </w:p>
    <w:p>
      <w:pPr>
        <w:suppressAutoHyphens/>
        <w:autoSpaceDE w:val="0"/>
        <w:autoSpaceDN w:val="0"/>
        <w:adjustRightInd w:val="0"/>
        <w:spacing w:after="120"/>
        <w:jc w:val="center"/>
        <w:rPr>
          <w:rFonts w:ascii="宋体" w:hAnsi="Times New Roman" w:eastAsia="宋体" w:cs="Calibri"/>
          <w:color w:val="000000" w:themeColor="text1"/>
          <w:kern w:val="0"/>
          <w:sz w:val="34"/>
          <w:szCs w:val="20"/>
          <w14:textFill>
            <w14:solidFill>
              <w14:schemeClr w14:val="tx1"/>
            </w14:solidFill>
          </w14:textFill>
        </w:rPr>
      </w:pPr>
      <w:r>
        <w:rPr>
          <w:rFonts w:hint="eastAsia" w:ascii="宋体" w:hAnsi="Times New Roman" w:eastAsia="宋体" w:cs="Calibri"/>
          <w:color w:val="000000" w:themeColor="text1"/>
          <w:kern w:val="0"/>
          <w:sz w:val="34"/>
          <w:szCs w:val="20"/>
          <w14:textFill>
            <w14:solidFill>
              <w14:schemeClr w14:val="tx1"/>
            </w14:solidFill>
          </w14:textFill>
        </w:rPr>
        <w:t>肉类</w:t>
      </w:r>
    </w:p>
    <w:tbl>
      <w:tblPr>
        <w:tblStyle w:val="6"/>
        <w:tblpPr w:leftFromText="180" w:rightFromText="180" w:vertAnchor="text" w:horzAnchor="page" w:tblpX="1128" w:tblpY="721"/>
        <w:tblOverlap w:val="never"/>
        <w:tblW w:w="5000" w:type="pct"/>
        <w:tblInd w:w="0"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53"/>
        <w:gridCol w:w="1215"/>
        <w:gridCol w:w="1253"/>
        <w:gridCol w:w="6347"/>
      </w:tblGrid>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441" w:type="pct"/>
            <w:tcMar>
              <w:top w:w="15" w:type="dxa"/>
              <w:left w:w="15" w:type="dxa"/>
              <w:right w:w="15" w:type="dxa"/>
            </w:tcMar>
            <w:vAlign w:val="center"/>
          </w:tcPr>
          <w:p>
            <w:pPr>
              <w:widowControl/>
              <w:spacing w:line="30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序号</w:t>
            </w:r>
          </w:p>
        </w:tc>
        <w:tc>
          <w:tcPr>
            <w:tcW w:w="628" w:type="pct"/>
            <w:tcMar>
              <w:top w:w="15" w:type="dxa"/>
              <w:left w:w="15" w:type="dxa"/>
              <w:right w:w="15" w:type="dxa"/>
            </w:tcMar>
            <w:vAlign w:val="center"/>
          </w:tcPr>
          <w:p>
            <w:pPr>
              <w:widowControl/>
              <w:spacing w:line="30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品种</w:t>
            </w:r>
          </w:p>
        </w:tc>
        <w:tc>
          <w:tcPr>
            <w:tcW w:w="648" w:type="pct"/>
            <w:tcMar>
              <w:top w:w="15" w:type="dxa"/>
              <w:left w:w="15" w:type="dxa"/>
              <w:right w:w="15" w:type="dxa"/>
            </w:tcMar>
            <w:vAlign w:val="center"/>
          </w:tcPr>
          <w:p>
            <w:pPr>
              <w:widowControl/>
              <w:spacing w:line="30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规格</w:t>
            </w:r>
          </w:p>
        </w:tc>
        <w:tc>
          <w:tcPr>
            <w:tcW w:w="3282" w:type="pct"/>
            <w:tcMar>
              <w:top w:w="15" w:type="dxa"/>
              <w:left w:w="15" w:type="dxa"/>
              <w:right w:w="15" w:type="dxa"/>
            </w:tcMar>
            <w:vAlign w:val="center"/>
          </w:tcPr>
          <w:p>
            <w:pPr>
              <w:widowControl/>
              <w:spacing w:line="30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质量要求及验收标准</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乌鸡（光）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2.5～3.2斤/只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新鲜、洁净，检疫合格，肉质鲜嫩，无异味、无毛、无注水，120天以上。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土鸡（光）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2.8～4斤/只</w:t>
            </w:r>
          </w:p>
        </w:tc>
        <w:tc>
          <w:tcPr>
            <w:tcW w:w="3282" w:type="pct"/>
            <w:tcMar>
              <w:top w:w="15" w:type="dxa"/>
              <w:left w:w="15" w:type="dxa"/>
              <w:right w:w="15" w:type="dxa"/>
            </w:tcMar>
            <w:vAlign w:val="center"/>
          </w:tcPr>
          <w:p>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新鲜、洁净、检疫合格、无异味，无毛，240天以上。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土项鸡（光）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2.5～3.2斤/只</w:t>
            </w:r>
          </w:p>
        </w:tc>
        <w:tc>
          <w:tcPr>
            <w:tcW w:w="3282" w:type="pct"/>
            <w:tcMar>
              <w:top w:w="15" w:type="dxa"/>
              <w:left w:w="15" w:type="dxa"/>
              <w:right w:w="15" w:type="dxa"/>
            </w:tcMar>
            <w:vAlign w:val="center"/>
          </w:tcPr>
          <w:p>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新鲜、洁净、检疫合格、无异味，无毛，240天以上。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农家土鸡（光）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2.5～3.2斤/只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新鲜、洁净、检疫合格、无注水，无毛，肉质鲜嫩，无异味，300天以上。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土阉鸡（光）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4.5～5.5斤/只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新鲜、洁净，检疫合格，无注水，无毛，肉质鲜嫩，无异味，无毛，360天以上。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三黄土鸡（光）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2.6～3.2斤/只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新鲜、洁净，检疫合格，无注水，无毛，肉质鲜嫩，无异味，180天以上。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老鸡（光）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2.6～3.2斤/只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新鲜、洁净，检疫合格，无注水，无毛，肉质鲜嫩，无异味，360天以上。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安铺鸡</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val="en-US" w:eastAsia="zh-CN" w:bidi="ar"/>
              </w:rPr>
              <w:t>5</w:t>
            </w:r>
            <w:r>
              <w:rPr>
                <w:rFonts w:hint="eastAsia" w:asciiTheme="minorEastAsia" w:hAnsiTheme="minorEastAsia" w:cstheme="minorEastAsia"/>
                <w:color w:val="000000"/>
                <w:kern w:val="0"/>
                <w:szCs w:val="21"/>
                <w:lang w:bidi="ar"/>
              </w:rPr>
              <w:t>～</w:t>
            </w:r>
            <w:r>
              <w:rPr>
                <w:rFonts w:hint="eastAsia" w:asciiTheme="minorEastAsia" w:hAnsiTheme="minorEastAsia" w:cstheme="minorEastAsia"/>
                <w:color w:val="000000"/>
                <w:kern w:val="0"/>
                <w:szCs w:val="21"/>
                <w:lang w:val="en-US" w:eastAsia="zh-CN" w:bidi="ar"/>
              </w:rPr>
              <w:t>6</w:t>
            </w:r>
            <w:r>
              <w:rPr>
                <w:rFonts w:hint="eastAsia" w:asciiTheme="minorEastAsia" w:hAnsiTheme="minorEastAsia" w:cstheme="minorEastAsia"/>
                <w:color w:val="000000"/>
                <w:kern w:val="0"/>
                <w:szCs w:val="21"/>
                <w:lang w:bidi="ar"/>
              </w:rPr>
              <w:t>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新鲜、检疫合格，无异味，无毛。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新鲜鸡腿</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0.25～0.35斤/个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冰鲜、检疫合格，无异味，无毛。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鸡腿（冰鲜）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新鲜、检疫合格，无异味，无骨。无毛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新鲜鸡翅</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0.2～0.3斤/个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新鲜、检疫合格，无异味，无毛。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鸡翅根（冰鲜）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0.2～0.3斤/个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冰鲜、检疫合格，无异味，无毛。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鸡中翅（冰鲜）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12个/斤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检疫合格，无异味，无过期，无毛。无注水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鲜鸡爪</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7个/斤</w:t>
            </w:r>
          </w:p>
        </w:tc>
        <w:tc>
          <w:tcPr>
            <w:tcW w:w="3282" w:type="pct"/>
            <w:tcMar>
              <w:top w:w="15" w:type="dxa"/>
              <w:left w:w="15" w:type="dxa"/>
              <w:right w:w="15" w:type="dxa"/>
            </w:tcMar>
            <w:vAlign w:val="center"/>
          </w:tcPr>
          <w:p>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新鲜、无异味、检疫合格。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掌中宝</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1斤/包</w:t>
            </w:r>
          </w:p>
        </w:tc>
        <w:tc>
          <w:tcPr>
            <w:tcW w:w="3282" w:type="pct"/>
            <w:tcMar>
              <w:top w:w="15" w:type="dxa"/>
              <w:left w:w="15" w:type="dxa"/>
              <w:right w:w="15" w:type="dxa"/>
            </w:tcMar>
            <w:vAlign w:val="center"/>
          </w:tcPr>
          <w:p>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冰鲜、无异味、检疫合格。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w:t>
            </w:r>
          </w:p>
        </w:tc>
        <w:tc>
          <w:tcPr>
            <w:tcW w:w="62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鸡肾</w:t>
            </w:r>
          </w:p>
        </w:tc>
        <w:tc>
          <w:tcPr>
            <w:tcW w:w="64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12～15个/斤</w:t>
            </w:r>
          </w:p>
        </w:tc>
        <w:tc>
          <w:tcPr>
            <w:tcW w:w="3282" w:type="pct"/>
            <w:tcMar>
              <w:top w:w="15" w:type="dxa"/>
              <w:left w:w="15" w:type="dxa"/>
              <w:right w:w="15" w:type="dxa"/>
            </w:tcMar>
            <w:vAlign w:val="center"/>
          </w:tcPr>
          <w:p>
            <w:pPr>
              <w:widowControl/>
              <w:spacing w:line="28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新鲜、无异味、检疫合格。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w:t>
            </w:r>
          </w:p>
        </w:tc>
        <w:tc>
          <w:tcPr>
            <w:tcW w:w="62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老鸭（光）</w:t>
            </w:r>
          </w:p>
        </w:tc>
        <w:tc>
          <w:tcPr>
            <w:tcW w:w="64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4～5斤/只</w:t>
            </w:r>
          </w:p>
        </w:tc>
        <w:tc>
          <w:tcPr>
            <w:tcW w:w="3282" w:type="pct"/>
            <w:tcMar>
              <w:top w:w="15" w:type="dxa"/>
              <w:left w:w="15" w:type="dxa"/>
              <w:right w:w="15" w:type="dxa"/>
            </w:tcMar>
            <w:vAlign w:val="center"/>
          </w:tcPr>
          <w:p>
            <w:pPr>
              <w:widowControl/>
              <w:spacing w:line="28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新鲜、洁净，检疫合格，无注水，无毛，肉质鲜嫩，无异味。400天以上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w:t>
            </w:r>
          </w:p>
        </w:tc>
        <w:tc>
          <w:tcPr>
            <w:tcW w:w="62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青头鸭（光）</w:t>
            </w:r>
          </w:p>
        </w:tc>
        <w:tc>
          <w:tcPr>
            <w:tcW w:w="64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4～5斤/只</w:t>
            </w:r>
          </w:p>
        </w:tc>
        <w:tc>
          <w:tcPr>
            <w:tcW w:w="3282" w:type="pct"/>
            <w:tcMar>
              <w:top w:w="15" w:type="dxa"/>
              <w:left w:w="15" w:type="dxa"/>
              <w:right w:w="15" w:type="dxa"/>
            </w:tcMar>
            <w:vAlign w:val="center"/>
          </w:tcPr>
          <w:p>
            <w:pPr>
              <w:widowControl/>
              <w:spacing w:line="28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新鲜、洁净，检疫合格，无注水，无毛，肉质鲜嫩，无异味，240天以上。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19</w:t>
            </w:r>
          </w:p>
        </w:tc>
        <w:tc>
          <w:tcPr>
            <w:tcW w:w="62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土鸭（光）</w:t>
            </w:r>
          </w:p>
        </w:tc>
        <w:tc>
          <w:tcPr>
            <w:tcW w:w="64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3.8～4.5斤/只</w:t>
            </w:r>
          </w:p>
        </w:tc>
        <w:tc>
          <w:tcPr>
            <w:tcW w:w="3282" w:type="pct"/>
            <w:tcMar>
              <w:top w:w="15" w:type="dxa"/>
              <w:left w:w="15" w:type="dxa"/>
              <w:right w:w="15" w:type="dxa"/>
            </w:tcMar>
          </w:tcPr>
          <w:p>
            <w:pPr>
              <w:widowControl/>
              <w:spacing w:line="280" w:lineRule="exact"/>
              <w:textAlignment w:val="top"/>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新鲜、洁净，检疫合格，无注水，无毛，肉质鲜嫩，无异味。180天以上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w:t>
            </w:r>
          </w:p>
        </w:tc>
        <w:tc>
          <w:tcPr>
            <w:tcW w:w="62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水鸭（光）</w:t>
            </w:r>
          </w:p>
        </w:tc>
        <w:tc>
          <w:tcPr>
            <w:tcW w:w="64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2.5～3.5斤/只</w:t>
            </w:r>
          </w:p>
        </w:tc>
        <w:tc>
          <w:tcPr>
            <w:tcW w:w="3282" w:type="pct"/>
            <w:tcMar>
              <w:top w:w="15" w:type="dxa"/>
              <w:left w:w="15" w:type="dxa"/>
              <w:right w:w="15" w:type="dxa"/>
            </w:tcMar>
          </w:tcPr>
          <w:p>
            <w:pPr>
              <w:widowControl/>
              <w:spacing w:line="280" w:lineRule="exact"/>
              <w:textAlignment w:val="top"/>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新鲜、洁净，检疫合格，无注水，无毛，肉质鲜嫩，无异味。180天以上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21</w:t>
            </w:r>
          </w:p>
        </w:tc>
        <w:tc>
          <w:tcPr>
            <w:tcW w:w="62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吹风鸭（光）</w:t>
            </w:r>
          </w:p>
        </w:tc>
        <w:tc>
          <w:tcPr>
            <w:tcW w:w="64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烤鸭用4.2～4.5斤/只</w:t>
            </w:r>
          </w:p>
        </w:tc>
        <w:tc>
          <w:tcPr>
            <w:tcW w:w="3282" w:type="pct"/>
            <w:tcMar>
              <w:top w:w="15" w:type="dxa"/>
              <w:left w:w="15" w:type="dxa"/>
              <w:right w:w="15" w:type="dxa"/>
            </w:tcMar>
          </w:tcPr>
          <w:p>
            <w:pPr>
              <w:widowControl/>
              <w:spacing w:line="280" w:lineRule="exact"/>
              <w:textAlignment w:val="top"/>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新鲜、洁净，检疫合格，无注水，无毛，肉质鲜嫩，无异味。表皮无破损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kern w:val="0"/>
                <w:szCs w:val="21"/>
                <w:lang w:bidi="ar"/>
              </w:rPr>
            </w:pPr>
          </w:p>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w:t>
            </w:r>
          </w:p>
        </w:tc>
        <w:tc>
          <w:tcPr>
            <w:tcW w:w="62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水盆鸭（光）</w:t>
            </w:r>
          </w:p>
        </w:tc>
        <w:tc>
          <w:tcPr>
            <w:tcW w:w="64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4.5～5斤/只</w:t>
            </w:r>
          </w:p>
        </w:tc>
        <w:tc>
          <w:tcPr>
            <w:tcW w:w="3282" w:type="pct"/>
            <w:tcMar>
              <w:top w:w="15" w:type="dxa"/>
              <w:left w:w="15" w:type="dxa"/>
              <w:right w:w="15" w:type="dxa"/>
            </w:tcMar>
          </w:tcPr>
          <w:p>
            <w:pPr>
              <w:widowControl/>
              <w:spacing w:line="280" w:lineRule="exact"/>
              <w:textAlignment w:val="top"/>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鸭肾</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6个/斤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新鲜、洁净，检疫合格，无异味，无腐烂变质。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鸭肠</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新鲜、洁净，检疫合格，无异味，无腐烂变质、无注水、剥开无涨发。</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鸭胸肉（冰鲜）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鸭腿</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0.3～0.4斤/条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新鲜、洁净，检疫合格，无注水，肉质鲜嫩，无皮，无异味。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鸭脖子（冰鲜）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0.3～0.4斤/条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冰鲜、洁净，检疫合格，无注水，肉质鲜嫩，无皮，无异味。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带皮鸭掌</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10个/斤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冰鲜、洁净，检疫合格，无注水，无异味，带皮完整无破损。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29</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鸭醋血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新鲜、无异味、检疫合格、无杂质、不结块。</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鸭头</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0.3～0.4斤/个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新鲜、检疫合格、无毛、无异味。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鸭下巴</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0.2~0.3斤/个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新鲜、检疫合格、无异味、无毛。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32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鸭肝</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7个/斤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去皮鸭脚</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12个/斤</w:t>
            </w:r>
          </w:p>
        </w:tc>
        <w:tc>
          <w:tcPr>
            <w:tcW w:w="3282" w:type="pct"/>
            <w:tcMar>
              <w:top w:w="15" w:type="dxa"/>
              <w:left w:w="15" w:type="dxa"/>
              <w:right w:w="15" w:type="dxa"/>
            </w:tcMar>
            <w:vAlign w:val="center"/>
          </w:tcPr>
          <w:p>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鸭翅</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7个/斤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新鲜、检疫合格、无异味、无毛。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乳鸽（光）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0.6～0.8 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新鲜、洁净，检疫合格，无毛，肉质鲜嫩，无异味、无注水。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36</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老鸽（光）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0.6～0.8斤/只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鲜、洁净，检疫合格，无毛，肉质鲜嫩，无异味、无注水。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鹌鹑（光）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0.3～0.5斤/只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鲜、洁净，检疫合格，无毛，肉质鲜嫩，无异味、无注水。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38</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鹌鹑肾</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新鲜、洁净，检疫合格，无异味，无腐烂变质。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39</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鹧鸪（光）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0.5～0.7斤/只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40</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牛排</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新鲜、洁净，检疫合格，无掺假、无注水、无牛油。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新鲜、洁净，检疫合格，无掺假、无注水、无牛油。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雪花牛肉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新鲜、洁净，检疫合格，无掺假、无注水、无牛油。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手工牛肉丸</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新鲜、洁净，检疫合格，不掺假，不掺添加剂 。</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黄牛肉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新鲜、洁净，检疫合格，（不带牛腩老筋）、无注水。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牛肚</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新鲜、洁净，检疫合格，无异味、无注水、无涨发</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46</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牛肺</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新鲜、洁净，检疫合格，无异味、无注水、无涨发</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牛仔骨（冰鲜）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袋装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48</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牛百叶</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新鲜、洁净，检疫合格，无异味、无注水、无涨发。</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49</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牛黄喉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新鲜、洁净，检疫合格，无掺假、无异味、无注水、无泡发。</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50</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独牛腱</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1～1.5斤/个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新鲜、洁净，检疫合格，表皮不带筋膜、无注水。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牛吊龙</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整块、新鲜、洁净，检疫合格，无掺假、无异味、无注水。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肥牛</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袋装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整块、洁净，检疫合格，无掺假、无过期、无异味。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牛排腩</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新鲜、洁净，检疫合格、无肥油、无注水、无异味。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牛霖</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新鲜、洁净，检疫合格、无肥油、无注水、无异味。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块状</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新鲜、洁净，检疫合格，无掺假、无异味、无杂质。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56</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牛肠</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pacing w:val="-20"/>
                <w:kern w:val="0"/>
                <w:szCs w:val="21"/>
                <w:lang w:bidi="ar"/>
              </w:rPr>
              <w:t>牛心</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袋装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58</w:t>
            </w:r>
          </w:p>
        </w:tc>
        <w:tc>
          <w:tcPr>
            <w:tcW w:w="628" w:type="pct"/>
            <w:tcMar>
              <w:top w:w="15" w:type="dxa"/>
              <w:left w:w="15" w:type="dxa"/>
              <w:right w:w="15" w:type="dxa"/>
            </w:tcMar>
            <w:vAlign w:val="center"/>
          </w:tcPr>
          <w:p>
            <w:pPr>
              <w:widowControl/>
              <w:spacing w:line="240" w:lineRule="exact"/>
              <w:ind w:firstLine="420" w:firstLineChars="200"/>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牛肝</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59</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牛舌头</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60</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牛碎腩</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新鲜、洁净，检疫合格，无异味、无掺杂。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牛骨</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山羊肉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新鲜、洁净，检疫合格，烧毛、无注水，肉质鲜嫩，无异味。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黑山羊肉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新鲜、洁净，检疫合格、烧毛、无注水、无异味、肉质鲜嫩</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羊腩</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新鲜、洁净，检疫合格，无掺杂、带皮无毛。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羊排</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66</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羊蹄</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开边散装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新鲜、洁净，检疫合格、无毛、无异味。烧毛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羊骨</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68</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羊血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块状</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新鲜、洁净，检疫合格，无掺假、无杂质、无异味。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69</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pacing w:val="-20"/>
                <w:kern w:val="0"/>
                <w:szCs w:val="21"/>
                <w:lang w:bidi="ar"/>
              </w:rPr>
              <w:t>羊蝎子</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70</w:t>
            </w: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土猪五花肉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猪肥肉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新鲜、猪背肥肉、不带皮、洁净，检疫合格，无异味。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72</w:t>
            </w: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手工猪肉丸</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五花肉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块状</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新鲜、洁净，检疫合格，无注水，肉质鲜嫩，无异味、肥瘦适中、无毛。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pacing w:val="-20"/>
                <w:szCs w:val="21"/>
              </w:rPr>
            </w:pPr>
            <w:r>
              <w:rPr>
                <w:rFonts w:hint="eastAsia" w:asciiTheme="minorEastAsia" w:hAnsiTheme="minorEastAsia" w:cstheme="minorEastAsia"/>
                <w:color w:val="000000"/>
                <w:spacing w:val="-20"/>
                <w:kern w:val="0"/>
                <w:szCs w:val="21"/>
                <w:lang w:bidi="ar"/>
              </w:rPr>
              <w:t>去皮五花肉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块状</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新鲜、洁净，检疫合格，无注水，肉质鲜嫩、无异味、肥瘦适中。</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pacing w:val="-20"/>
                <w:szCs w:val="21"/>
              </w:rPr>
            </w:pPr>
            <w:r>
              <w:rPr>
                <w:rFonts w:hint="eastAsia" w:asciiTheme="minorEastAsia" w:hAnsiTheme="minorEastAsia" w:cstheme="minorEastAsia"/>
                <w:color w:val="000000"/>
                <w:spacing w:val="-20"/>
                <w:kern w:val="0"/>
                <w:szCs w:val="21"/>
                <w:lang w:bidi="ar"/>
              </w:rPr>
              <w:t>黑猪五花肉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块状（切好边料）</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新鲜、洁净，检疫合格，无注水、肉质鲜嫩，无异味、肥瘦适中、无毛。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76</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pacing w:val="-20"/>
                <w:kern w:val="0"/>
                <w:szCs w:val="21"/>
                <w:lang w:bidi="ar"/>
              </w:rPr>
              <w:t>猪里脊肉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3～5斤/条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新鲜、洁净，检疫合格，不带脂肪层、去肉皮、去筋膜、无注水、无异味。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pacing w:val="-20"/>
                <w:kern w:val="0"/>
                <w:szCs w:val="21"/>
                <w:lang w:bidi="ar"/>
              </w:rPr>
              <w:t>梅头瘦</w:t>
            </w:r>
            <w:r>
              <w:rPr>
                <w:rFonts w:hint="eastAsia" w:asciiTheme="minorEastAsia" w:hAnsiTheme="minorEastAsia" w:cstheme="minorEastAsia"/>
                <w:color w:val="000000"/>
                <w:kern w:val="0"/>
                <w:szCs w:val="21"/>
                <w:lang w:bidi="ar"/>
              </w:rPr>
              <w:t>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新鲜、洁净，检疫合格，无注水，肉质鲜嫩，无皮，无异味。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78</w:t>
            </w: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带皮前腿肉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新鲜、烧毛、洁净，检疫合格，无注水，肉质鲜嫩，无异味。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79</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前腿瘦肉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新鲜、洁净，检疫合格，无注水，肉质鲜嫩，无皮，无异味。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pacing w:val="-20"/>
                <w:kern w:val="0"/>
                <w:szCs w:val="21"/>
                <w:lang w:bidi="ar"/>
              </w:rPr>
            </w:pPr>
            <w:r>
              <w:rPr>
                <w:rFonts w:hint="eastAsia" w:asciiTheme="minorEastAsia" w:hAnsiTheme="minorEastAsia" w:cstheme="minorEastAsia"/>
                <w:color w:val="000000"/>
                <w:szCs w:val="21"/>
              </w:rPr>
              <w:t>80</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pacing w:val="-20"/>
                <w:kern w:val="0"/>
                <w:szCs w:val="21"/>
                <w:lang w:bidi="ar"/>
              </w:rPr>
            </w:pPr>
            <w:r>
              <w:rPr>
                <w:rFonts w:hint="eastAsia" w:asciiTheme="minorEastAsia" w:hAnsiTheme="minorEastAsia" w:cstheme="minorEastAsia"/>
                <w:color w:val="000000"/>
                <w:spacing w:val="-20"/>
                <w:kern w:val="0"/>
                <w:szCs w:val="21"/>
                <w:lang w:bidi="ar"/>
              </w:rPr>
              <w:t>后腿瘦肉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新鲜、洁净，检疫合格，无注水，肉质鲜嫩，无皮，无异味。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猪脚尖 （开边前蹄）</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0.8～1斤/个（长12cm)</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新鲜、洁净，检疫合格，去脚尖硬壳，烧好无毛。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开边猪脚(前脚）</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开边猪脚（后脚）</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猪头骨（去头皮带肉）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筒骨</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86</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黑土猪头</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沙骨</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88</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龙尾骨</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89</w:t>
            </w:r>
          </w:p>
        </w:tc>
        <w:tc>
          <w:tcPr>
            <w:tcW w:w="628" w:type="pct"/>
            <w:tcMar>
              <w:top w:w="15" w:type="dxa"/>
              <w:left w:w="15" w:type="dxa"/>
              <w:right w:w="15" w:type="dxa"/>
            </w:tcMar>
            <w:vAlign w:val="center"/>
          </w:tcPr>
          <w:p>
            <w:pPr>
              <w:widowControl/>
              <w:spacing w:line="240" w:lineRule="exact"/>
              <w:ind w:firstLine="210" w:firstLineChars="100"/>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猪脚尖</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90</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猪前排</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去头前排</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肉排</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去脊肉排</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94</w:t>
            </w: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排骨肉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净猪肚</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1.5～2.5斤/个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新鲜、洁净，检疫合格，无异味、无注水、无油、去肚肠头。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96</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猪头皮</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猪面肉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98</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猪心</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99</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猪肝</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100</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猪肺</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2.5~3斤/个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猪舌头</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1.2~2斤/条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猪脑</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大肠</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七寸</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粉肠头</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106</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粉肠</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猪横脷</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108</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花肠</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1.5～2斤/付</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109</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块状</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110</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净猪耳</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0.3～0.5斤/个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新鲜、洁净、检疫合格，无异味、烧好无毛、无附带耳根后肥肉，脆骨部分占整耳90%以上。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猪耳朵</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1~1.3斤/个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猪蹄筋（鲜）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肉筋</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猪尾 （冰鲜）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净猪尾</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新鲜、洁净，检疫合格，无异味、整尾无附带脊椎，烧好无毛。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116</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猪圆蹄</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2.5～3斤/个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117</w:t>
            </w:r>
          </w:p>
        </w:tc>
        <w:tc>
          <w:tcPr>
            <w:tcW w:w="62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猪板油</w:t>
            </w:r>
          </w:p>
        </w:tc>
        <w:tc>
          <w:tcPr>
            <w:tcW w:w="64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8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118</w:t>
            </w:r>
          </w:p>
        </w:tc>
        <w:tc>
          <w:tcPr>
            <w:tcW w:w="62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猪脆骨</w:t>
            </w:r>
          </w:p>
        </w:tc>
        <w:tc>
          <w:tcPr>
            <w:tcW w:w="64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250克/包</w:t>
            </w:r>
          </w:p>
        </w:tc>
        <w:tc>
          <w:tcPr>
            <w:tcW w:w="3282" w:type="pct"/>
            <w:tcMar>
              <w:top w:w="15" w:type="dxa"/>
              <w:left w:w="15" w:type="dxa"/>
              <w:right w:w="15" w:type="dxa"/>
            </w:tcMar>
            <w:vAlign w:val="center"/>
          </w:tcPr>
          <w:p>
            <w:pPr>
              <w:widowControl/>
              <w:spacing w:line="28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441"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119</w:t>
            </w:r>
          </w:p>
        </w:tc>
        <w:tc>
          <w:tcPr>
            <w:tcW w:w="62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炭烧肉</w:t>
            </w:r>
          </w:p>
        </w:tc>
        <w:tc>
          <w:tcPr>
            <w:tcW w:w="64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包（4斤）</w:t>
            </w:r>
          </w:p>
        </w:tc>
        <w:tc>
          <w:tcPr>
            <w:tcW w:w="3282" w:type="pct"/>
            <w:tcMar>
              <w:top w:w="15" w:type="dxa"/>
              <w:left w:w="15" w:type="dxa"/>
              <w:right w:w="15" w:type="dxa"/>
            </w:tcMar>
            <w:vAlign w:val="center"/>
          </w:tcPr>
          <w:p>
            <w:pPr>
              <w:widowControl/>
              <w:spacing w:line="28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120</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pacing w:val="-20"/>
                <w:kern w:val="0"/>
                <w:szCs w:val="21"/>
                <w:lang w:bidi="ar"/>
              </w:rPr>
            </w:pPr>
            <w:r>
              <w:rPr>
                <w:rFonts w:hint="eastAsia" w:asciiTheme="minorEastAsia" w:hAnsiTheme="minorEastAsia" w:cstheme="minorEastAsia"/>
                <w:color w:val="000000"/>
                <w:spacing w:val="-20"/>
                <w:kern w:val="0"/>
                <w:szCs w:val="21"/>
                <w:lang w:bidi="ar"/>
              </w:rPr>
              <w:t>肉肠</w:t>
            </w:r>
          </w:p>
        </w:tc>
        <w:tc>
          <w:tcPr>
            <w:tcW w:w="648" w:type="pct"/>
            <w:tcMar>
              <w:top w:w="15" w:type="dxa"/>
              <w:left w:w="15" w:type="dxa"/>
              <w:right w:w="15" w:type="dxa"/>
            </w:tcMar>
            <w:vAlign w:val="center"/>
          </w:tcPr>
          <w:p>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pacing w:val="-20"/>
                <w:kern w:val="0"/>
                <w:szCs w:val="21"/>
                <w:lang w:bidi="ar"/>
              </w:rPr>
            </w:pPr>
            <w:r>
              <w:rPr>
                <w:rFonts w:hint="eastAsia" w:asciiTheme="minorEastAsia" w:hAnsiTheme="minorEastAsia" w:cstheme="minorEastAsia"/>
                <w:color w:val="000000"/>
                <w:spacing w:val="-20"/>
                <w:kern w:val="0"/>
                <w:szCs w:val="21"/>
                <w:lang w:bidi="ar"/>
              </w:rPr>
              <w:t>贺欧腊肉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400g/包</w:t>
            </w:r>
          </w:p>
        </w:tc>
        <w:tc>
          <w:tcPr>
            <w:tcW w:w="3282" w:type="pct"/>
            <w:tcMar>
              <w:top w:w="15" w:type="dxa"/>
              <w:left w:w="15" w:type="dxa"/>
              <w:right w:w="15" w:type="dxa"/>
            </w:tcMar>
            <w:vAlign w:val="center"/>
          </w:tcPr>
          <w:p>
            <w:pPr>
              <w:widowControl/>
              <w:spacing w:line="30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pacing w:val="-20"/>
                <w:kern w:val="0"/>
                <w:szCs w:val="21"/>
                <w:lang w:bidi="ar"/>
              </w:rPr>
              <w:t>贺欧腊肠</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400g/包</w:t>
            </w:r>
          </w:p>
        </w:tc>
        <w:tc>
          <w:tcPr>
            <w:tcW w:w="3282" w:type="pct"/>
            <w:tcMar>
              <w:top w:w="15" w:type="dxa"/>
              <w:left w:w="15" w:type="dxa"/>
              <w:right w:w="15" w:type="dxa"/>
            </w:tcMar>
            <w:vAlign w:val="center"/>
          </w:tcPr>
          <w:p>
            <w:pPr>
              <w:widowControl/>
              <w:spacing w:line="30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腊鸭</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腊鱼</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烟熏腊肉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126</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烟熏腊肠</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魽鱼（杀）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128</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鲶鱼</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129</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草鱼（杀）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5～6斤/条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130</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剥皮鱼（杀）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0.3～0.5斤/条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新鲜、洁净，无异味、去皮。</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禾花鱼（杀）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10条/斤</w:t>
            </w:r>
          </w:p>
        </w:tc>
        <w:tc>
          <w:tcPr>
            <w:tcW w:w="3282" w:type="pct"/>
            <w:tcMar>
              <w:top w:w="15" w:type="dxa"/>
              <w:left w:w="15" w:type="dxa"/>
              <w:right w:w="15" w:type="dxa"/>
            </w:tcMar>
            <w:vAlign w:val="center"/>
          </w:tcPr>
          <w:p>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大花鱼（杀）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大头鱼（杀）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大白鲢鱼头</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0.8～1斤/个</w:t>
            </w:r>
          </w:p>
        </w:tc>
        <w:tc>
          <w:tcPr>
            <w:tcW w:w="3282" w:type="pct"/>
            <w:tcMar>
              <w:top w:w="15" w:type="dxa"/>
              <w:left w:w="15" w:type="dxa"/>
              <w:right w:w="15" w:type="dxa"/>
            </w:tcMar>
            <w:vAlign w:val="center"/>
          </w:tcPr>
          <w:p>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净带鱼   （冰鲜）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136</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剑骨鱼（杀）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3～4斤/条</w:t>
            </w:r>
          </w:p>
        </w:tc>
        <w:tc>
          <w:tcPr>
            <w:tcW w:w="3282" w:type="pct"/>
            <w:tcMar>
              <w:top w:w="15" w:type="dxa"/>
              <w:left w:w="15" w:type="dxa"/>
              <w:right w:w="15" w:type="dxa"/>
            </w:tcMar>
            <w:vAlign w:val="center"/>
          </w:tcPr>
          <w:p>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鲟龙鱼（杀）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138</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冻大眼鲷</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1.2～1.8斤/条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139</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多宝鱼（杀）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1.2～1.5斤/条</w:t>
            </w:r>
          </w:p>
        </w:tc>
        <w:tc>
          <w:tcPr>
            <w:tcW w:w="3282" w:type="pct"/>
            <w:tcMar>
              <w:top w:w="15" w:type="dxa"/>
              <w:left w:w="15" w:type="dxa"/>
              <w:right w:w="15" w:type="dxa"/>
            </w:tcMar>
            <w:vAlign w:val="center"/>
          </w:tcPr>
          <w:p>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新鲜、无斑、无死鱼、无异味。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140</w:t>
            </w: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丁桂鱼</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1.2～1.5斤/条</w:t>
            </w:r>
          </w:p>
        </w:tc>
        <w:tc>
          <w:tcPr>
            <w:tcW w:w="3282" w:type="pct"/>
            <w:tcMar>
              <w:top w:w="15" w:type="dxa"/>
              <w:left w:w="15" w:type="dxa"/>
              <w:right w:w="15" w:type="dxa"/>
            </w:tcMar>
            <w:vAlign w:val="center"/>
          </w:tcPr>
          <w:p>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141</w:t>
            </w: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红杉鱼（冰鲜）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0.4斤/条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大小均匀，冰鲜，无异味、无腐烂。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小条金丝鱼（冰鲜）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0.4斤/条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大小均匀，冰鲜，无异味、无腐烂。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小罗非鱼（杀）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0.35～0.5斤/条</w:t>
            </w:r>
          </w:p>
        </w:tc>
        <w:tc>
          <w:tcPr>
            <w:tcW w:w="3282" w:type="pct"/>
            <w:tcMar>
              <w:top w:w="15" w:type="dxa"/>
              <w:left w:w="15" w:type="dxa"/>
              <w:right w:w="15" w:type="dxa"/>
            </w:tcMar>
            <w:vAlign w:val="center"/>
          </w:tcPr>
          <w:p>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中罗非鱼（杀）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1.5～2斤/条</w:t>
            </w:r>
          </w:p>
        </w:tc>
        <w:tc>
          <w:tcPr>
            <w:tcW w:w="3282" w:type="pct"/>
            <w:tcMar>
              <w:top w:w="15" w:type="dxa"/>
              <w:left w:w="15" w:type="dxa"/>
              <w:right w:w="15" w:type="dxa"/>
            </w:tcMar>
            <w:vAlign w:val="center"/>
          </w:tcPr>
          <w:p>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145</w:t>
            </w: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泥鯭鱼（冰鲜）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0.3斤～0.5斤/条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146</w:t>
            </w: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翘嘴鱼（鲜、活）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1.3斤～1.6斤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金鲳鱼（杀）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1～1.3斤/条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148</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沙丁鱼（冰鲜）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10条/斤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149</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油鳝（活）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20条/斤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150</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黑鲷鱼</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0.3斤～0.5斤/条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151</w:t>
            </w: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大黄鱼（杀好）</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1.2斤～1.6斤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青竹鱼（杀好）</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2斤～2.3斤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冻点石斑鱼</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2斤～2.3斤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154</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石斑鱼（活）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2斤～2.3斤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155</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桂花鱼（活、杀）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1.8斤～2.5斤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156</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红鱼（活、杀）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1.2斤～1.6斤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157</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边鱼（活、杀）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1.2斤～1.6斤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158</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海鲈鱼（活、杀）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1.3斤～1.6斤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159</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淡水鲈鱼（活、杀）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1.5斤～1.8斤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160</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蓝刀鱼（活、杀）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18条/斤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161</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鳗鱼（活、杀）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1.8斤～2.5斤/条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162</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白鳝</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1.5斤～1.8斤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163</w:t>
            </w: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黄鳝（活）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散装、中条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新鲜、大小均匀、无异味、无死鳝鱼。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小黄骨鱼（杀）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0.25～0.3斤/条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新鲜、无异味、无死鱼、无异味。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中黄骨鱼（杀）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0.3～0.4斤/条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马鲛鱼</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0.3斤～0.5斤/条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花鱼</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3～4斤/条</w:t>
            </w:r>
          </w:p>
        </w:tc>
        <w:tc>
          <w:tcPr>
            <w:tcW w:w="3282" w:type="pct"/>
            <w:tcMar>
              <w:top w:w="15" w:type="dxa"/>
              <w:left w:w="15" w:type="dxa"/>
              <w:right w:w="15" w:type="dxa"/>
            </w:tcMar>
            <w:vAlign w:val="center"/>
          </w:tcPr>
          <w:p>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包公鱼</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1.5斤～1.8斤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叉尾巴鱼</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1.5斤～1.8斤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秋刀鱼（杀）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0.2～0.3斤/条</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numPr>
                <w:ilvl w:val="0"/>
                <w:numId w:val="3"/>
              </w:numPr>
              <w:spacing w:line="240" w:lineRule="exact"/>
              <w:jc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泥鳅（活）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8～10cm</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鲜活，大小均匀、无死泥鳅。</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鱼胶</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新鲜、洁净，无死鱼、无异味、无掺假、不掺添加剂。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冰虾仁</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30～40头/包/2斤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冰衣少，无碱味，缩水少、无异味、无过期。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皮皮虾（活）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8只/斤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大斑节虾（活）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8只/斤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中明虾（活）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18只/斤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鲜活、大小均匀、无死虾，无异味。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大明虾（活）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13只/斤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鲜活、大小均匀、无死虾，无异味。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八爪鱼   （冰鲜、杀）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冰鲜、洁净，无异味、无腐烂。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中冰鲜鱿 （北海）（杀）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0.6～0.9斤/个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大冰鲜鱿 （北海）（杀）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1～1.5斤/个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大花蟹（活）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0.4～0.5斤/只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鲜活、无异味、无死蟹。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大闸蟹（膏）（活）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0.3～0.4斤/只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鲜活、无异味、有蟹膏、无死蟹。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青蟹（膏）（活）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0.6～0.8斤/只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鲜活、无异味、无死蟹。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田鸡（杀）（活）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0.2～0.3斤/只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新鲜、无异味、无死蛙、去皮、去内脏。</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牛蛙 （冰鲜）</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0.3～0.4斤/只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新鲜、无异味、去皮、去头爪。</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田螺（中）</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新鲜、洁净无泥，带壳，无异味、去尾、无死螺。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车螺（大）（活）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新鲜、洁净无泥，带壳，无异味、无死螺。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大带子螺（活、杀）</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3个/斤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新鲜、洁净无泥，带壳，无异味、无死螺。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花甲螺（活）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新鲜、洁净，带壳，无异味、无死螺。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圣子螺（活）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带壳、鲜活、无杂质、无异味、无死螺。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石螺（活、去尾）</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新鲜、洁净无泥，带壳，无异味、去尾、无死螺。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香口螺（活）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新鲜、洁净无泥，带壳，无异味、无死螺。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扇贝（活）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7～8个/斤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新鲜、洁净，无杂质，无异味。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黄金贝（活）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4个/斤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鲜活，大小均匀、无死贝。</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白贝螺（活）</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4个/斤</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鲜活，大小均匀、无死贝。</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大生蚝</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0.7～0.8/个</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带壳、鲜活，个大肉肥、无异味。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蚝脷</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鲜蚝仔肉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鲜活，个大肉肥、无异味、无沙。</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蚬肉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新鲜、洁净，无杂壳，无异味。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红螺肉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新鲜、洁净，无杂质，无异味、无死螺。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鱼泡</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鲜活，大小均匀、无异味。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ind w:firstLine="420" w:firstLineChars="200"/>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鱼蛋</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鲜活，大小均匀、无异味。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青海羊排</w:t>
            </w:r>
          </w:p>
        </w:tc>
        <w:tc>
          <w:tcPr>
            <w:tcW w:w="648" w:type="pct"/>
            <w:tcMar>
              <w:top w:w="15" w:type="dxa"/>
              <w:left w:w="15" w:type="dxa"/>
              <w:right w:w="15" w:type="dxa"/>
            </w:tcMar>
            <w:vAlign w:val="center"/>
          </w:tcPr>
          <w:p>
            <w:pPr>
              <w:widowControl/>
              <w:spacing w:line="240" w:lineRule="exact"/>
              <w:ind w:firstLine="420" w:firstLineChars="200"/>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新鲜、洁净，无异味、无变质。无过期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青海牛排</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新鲜、洁净，无异味、无变质。无过期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p>
            <w:pPr>
              <w:widowControl/>
              <w:spacing w:line="240" w:lineRule="exact"/>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青海牦牛肉</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新鲜、洁净，无异味、无变质。无过期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41" w:type="pct"/>
            <w:tcMar>
              <w:top w:w="15" w:type="dxa"/>
              <w:left w:w="15" w:type="dxa"/>
              <w:right w:w="15" w:type="dxa"/>
            </w:tcMar>
            <w:vAlign w:val="center"/>
          </w:tcPr>
          <w:p>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青海牛腱子</w:t>
            </w:r>
          </w:p>
        </w:tc>
        <w:tc>
          <w:tcPr>
            <w:tcW w:w="648"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2" w:type="pct"/>
            <w:tcMar>
              <w:top w:w="15" w:type="dxa"/>
              <w:left w:w="15" w:type="dxa"/>
              <w:right w:w="15" w:type="dxa"/>
            </w:tcMar>
            <w:vAlign w:val="center"/>
          </w:tcPr>
          <w:p>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新鲜、洁净，无异味、无变质。无过期</w:t>
            </w:r>
          </w:p>
        </w:tc>
      </w:tr>
    </w:tbl>
    <w:p>
      <w:pPr>
        <w:suppressAutoHyphens/>
        <w:autoSpaceDE w:val="0"/>
        <w:autoSpaceDN w:val="0"/>
        <w:adjustRightInd w:val="0"/>
        <w:spacing w:after="120"/>
        <w:jc w:val="left"/>
        <w:rPr>
          <w:rFonts w:ascii="仿宋_GB2312" w:hAnsi="仿宋_GB2312" w:eastAsia="仿宋_GB2312" w:cs="仿宋_GB2312"/>
          <w:color w:val="000000" w:themeColor="text1"/>
          <w:kern w:val="0"/>
          <w:szCs w:val="21"/>
          <w14:textFill>
            <w14:solidFill>
              <w14:schemeClr w14:val="tx1"/>
            </w14:solidFill>
          </w14:textFill>
        </w:rPr>
      </w:pPr>
    </w:p>
    <w:p>
      <w:pPr>
        <w:suppressAutoHyphens/>
        <w:autoSpaceDE w:val="0"/>
        <w:autoSpaceDN w:val="0"/>
        <w:adjustRightInd w:val="0"/>
        <w:spacing w:after="120"/>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蔬菜水果、米粉、豆制品类</w:t>
      </w:r>
    </w:p>
    <w:tbl>
      <w:tblPr>
        <w:tblStyle w:val="6"/>
        <w:tblW w:w="5000" w:type="pct"/>
        <w:tblInd w:w="0"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82"/>
        <w:gridCol w:w="1494"/>
        <w:gridCol w:w="1867"/>
        <w:gridCol w:w="5511"/>
      </w:tblGrid>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序号</w:t>
            </w:r>
          </w:p>
        </w:tc>
        <w:tc>
          <w:tcPr>
            <w:tcW w:w="758" w:type="pct"/>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品种</w:t>
            </w:r>
          </w:p>
        </w:tc>
        <w:tc>
          <w:tcPr>
            <w:tcW w:w="947" w:type="pct"/>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规格</w:t>
            </w:r>
          </w:p>
        </w:tc>
        <w:tc>
          <w:tcPr>
            <w:tcW w:w="2796" w:type="pct"/>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质量要求及验收标准</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生菜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新鲜、根透白，颜色翠绿、无斑点，无黄叶，检验合格、鲜嫩、无农药超标。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菜心</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新鲜、青绿，鲜嫩，不掉叶，无黄叶，检验合格、无农药超标。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芥菜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新鲜、无虫蛀、茎秆翠绿，检验合格、无农药超标。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菠菜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新鲜、青绿，鲜嫩，不掉叶，无黄叶，长约15—20厘米，检验合格、无农药超标。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空心菜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新鲜、青绿、无黄叶，鲜嫩，柔软味干，叶多杆短、检验合格、无农药超标。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空心菜梗</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香芹 大蒜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娃娃菜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3棵/包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新鲜、色黄（假的不黄），鲜嫩，不掉叶，检验合格、无农药超标。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红薯叶（剥皮）</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新鲜、鲜绿，无烂叶，无黄叶，无虫害，检验合格、无农药超标。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上海青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新鲜、青绿无斑，鲜嫩，不掉叶，无黄叶，检验合格、无农药超标。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香椿芽</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新鲜、鲜嫩、菜叶无虫蛀，检验合格、无农药超标。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水东芥菜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青绿、无黄叶，鲜嫩，柔软味干，检验合格。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肉芥菜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椰包菜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新鲜、鲜嫩、菜叶无虫蛀，检验合格、无农药超标。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包菜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新鲜、鲜嫩、菜叶无虫蛀，检验合格、无农药超标。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紫包菜</w:t>
            </w:r>
          </w:p>
        </w:tc>
        <w:tc>
          <w:tcPr>
            <w:tcW w:w="947"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新鲜、鲜嫩、菜叶无虫蛀，检验合格、无农药超标。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大白菜</w:t>
            </w:r>
          </w:p>
        </w:tc>
        <w:tc>
          <w:tcPr>
            <w:tcW w:w="947"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新鲜、鲜嫩、菜叶无虫蛀，检验合格、无农药超标。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卷筒青</w:t>
            </w:r>
          </w:p>
        </w:tc>
        <w:tc>
          <w:tcPr>
            <w:tcW w:w="947"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新鲜、鲜嫩、菜叶无虫蛀，检验合格、无农药超标。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甜麦菜</w:t>
            </w:r>
          </w:p>
        </w:tc>
        <w:tc>
          <w:tcPr>
            <w:tcW w:w="947"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鲜嫩、无烂叶、菜叶无虫蛀，检验合格、无农药超标。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南瓜苗（剥）</w:t>
            </w:r>
          </w:p>
        </w:tc>
        <w:tc>
          <w:tcPr>
            <w:tcW w:w="947"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鲜嫩、无烂叶、菜叶无虫蛀，检验合格、无农药超标。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南瓜花（剥）</w:t>
            </w:r>
          </w:p>
        </w:tc>
        <w:tc>
          <w:tcPr>
            <w:tcW w:w="947"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鲜嫩、无腐烂、菜叶无虫蛀，检验合格、无农药超标。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苦菊</w:t>
            </w:r>
          </w:p>
        </w:tc>
        <w:tc>
          <w:tcPr>
            <w:tcW w:w="947"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鲜嫩、无腐烂、菜叶无虫蛀，检验合格、无农药超标。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白菜心</w:t>
            </w:r>
          </w:p>
        </w:tc>
        <w:tc>
          <w:tcPr>
            <w:tcW w:w="947"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鲜嫩、无腐烂、菜叶无虫蛀，检验合格、无农药超标。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西洋菜</w:t>
            </w:r>
          </w:p>
        </w:tc>
        <w:tc>
          <w:tcPr>
            <w:tcW w:w="947"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芥兰 菜心</w:t>
            </w:r>
          </w:p>
        </w:tc>
        <w:tc>
          <w:tcPr>
            <w:tcW w:w="947"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辣椒叶</w:t>
            </w:r>
          </w:p>
        </w:tc>
        <w:tc>
          <w:tcPr>
            <w:tcW w:w="947"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百花菜</w:t>
            </w:r>
          </w:p>
        </w:tc>
        <w:tc>
          <w:tcPr>
            <w:tcW w:w="947" w:type="pct"/>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新鲜、菜叶无虫蛀、茎秆翠绿，检验合格、无农药超标。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一点红</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净枸杞叶</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佛手瓜苗</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奶白菜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莴笋叶</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藤菜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苋菜（红）</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小葱</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葱叶碧绿，香味浓，无杂质、无腐烂、粗细匀、无农药超标。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薄荷叶</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香葱</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20～30cm/根</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颜色翠绿，根白无斑点，无黄叶、无农药超标。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大葱</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30～50cm/根</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根透白，粗细一致，脆嫩，无泥，葱叶碧绿，肢体粗壮，葱白长，葱白约35厘米以上、无农药超标。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大香菜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青绿、无黄叶、鲜嫩，香味浓、无农药超标。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紫苏</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正面绿，反面紫，无腐烂，鲜香、无农药超标。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西芹</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1.5～2斤/棵</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鲜嫩透绿，水晶色，不空心，不带叶、无农药超标。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韭菜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新鲜翠绿，不带杂物，无黄梗，无烂梗，不老、无农药超标。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韭菜心</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韭黄</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新鲜，不带杂物，无烂梗，不老、无农药超标。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西兰花</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新鲜、无农药、无病虫害，脆绿、无农药超标。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椰花菜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新鲜、叶形卵圆形，花球洁白均匀，无虫，脆爽、检疫合格、无农药超标。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鲜百合</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新鲜、无腐烂变质、检疫合格、无农药超标。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鲜荞头</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新鲜、无虫害、无泥、检疫合格、无农药超标。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有机花菜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青瓜花</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花生芽</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鲜芽菜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莴笋</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外形长度均匀，青皮，无腐烂，脆嫩、无农药超标。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莴笋（去皮）</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洋葱</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色泽亮丽，个头均匀饱满，清爽脆口、无农药超标。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圆茄子</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0.8～1斤/个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新鲜、大小均匀，无虫害、无农药超标。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茄子</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新鲜，大小均匀，无疤痕，无农药超标。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冬瓜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20～30斤/个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个大，水充足，无糠心，无破损，新鲜、无农药超标。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佛手瓜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体型饱满，果实细嫩，脆爽可口，无压痕、无农药超标。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小金瓜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2.5～3斤/个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金红色，无疤痕，无腐烂、成熟、味微甜、无破损、大小均匀、无农药超标。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小南瓜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老南瓜（去皮）</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肉质金黄，表皮无破损，无腐烂，粉糯、无农药超标。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节瓜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个大，水充足，无糠心，无破损、无农药超标。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节瓜（去皮）</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个大，水充足，无糠心，无破损、无农药超标。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丝瓜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青绿，鲜嫩，不老，粗细均匀，无农药超标。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丝瓜（去皮）</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青绿，鲜嫩，不老，粗细均匀，去皮、无农药超标。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小青瓜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青瓜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0.8～1斤/个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水分充足，色泽鲜绿，带刺，直而挺，粗细均匀，无破损直径3cm。</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苦瓜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鲜嫩、色泽青绿，无腐烂，籽不红、无农药超标。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珍珠苦瓜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鲜嫩、个大，水充足，无糠心，无破损、无农药超标。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生木瓜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西红柿</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4个/斤</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新鲜，颜色鲜红，无明显疤痕，无挤伤、无腐烂、无异味、无农药超标。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西红柿（粉）</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4个/斤</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新鲜，颜色鲜红，无明显疤痕，无挤伤、无腐烂、无异味、无农药超标。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去皮马蹄</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鲜嫩、无异味、无变质、无农药超标。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带皮马蹄</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黑甘蔗</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鲜带壳花生</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新鲜、无变质、无泥、无异味、无农药超标。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水煮花生  （带壳）</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新鲜、无变质、无泥、无异味、无农药超标。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干带壳花生</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无杂质、无变质、无异味、无农药超标。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嫩子姜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大小均匀，无杂质、无腐烂、无农药超标。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老姜（小）</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大小均匀，无杂质、无腐烂、无农药超标。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大小均匀，无杂质、无腐烂、无农药超标。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大生姜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块大，皮土黄，老嫩适中，去皮、无农药超标。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蒜苔（大条）</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长40～50厘米</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新鲜、质地鲜嫩、无杂质、无农药超标。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蒜米粒（去皮）</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个大，无烂眼，大小均匀，不带伤，无斑，去皮、无农药超标。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带皮蒜头</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个大，无烂眼，大小均匀，不带伤、无农药超标。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红葱头</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个大，无烂眼，大小均匀，不带伤、无农药超标。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大蒜苗</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新鲜、无黄叶变质、无农药超标。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小鲜笋（剥）</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鲜冬笋（剥）</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芦笋</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颜色青绿、口感无味、新鲜、无农药超标。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鲜茭笋（剥）</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假篓</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青绿、鲜嫩、无黄叶、无农药超标。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凉薯</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小红薯</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6个/斤</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小红薯（红心）</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6个/斤</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中红薯</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0.4～0.5斤/个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新鲜、粉糯无筋，肉质细嫩，没有长芽，无腐烂、大小均匀、无农药超标。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大红薯</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0.6～0.8斤/个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新鲜、粉糯无筋，肉质细嫩，没有长芽，无腐烂、大小均匀、无农药超标。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西瓜红薯</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0.4～0.5斤/个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新鲜、粉糯无筋，肉质细嫩，没有长芽，无腐烂、大小均匀、无农药超标。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大紫薯</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0.6～1斤/个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新鲜、粉糯无筋，肉质细嫩，没有长芽，无腐烂、大小均匀、无农药超标。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紫心红薯</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0.6～1斤/个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新鲜、粉糯无筋，肉质细嫩，没有长芽，无腐烂、大小均匀、无农药超标。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紫心红薯（小）</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6个/斤</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新鲜、粉糯无筋，肉质细嫩，没有长芽，无腐烂、大小均匀、无农药超标。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芋头仔</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10个/斤</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新鲜、个体均匀、无腐烂、无斑、无农药超标。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荔浦芋头</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1.5～2.5斤/个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大芋头</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芋头（去皮）</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大粉藕</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新鲜、个大，水充足，无黑心、无破损，粉糯、无农药超标。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莲藕</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切开色白，无泥，不烂，去皮、无农药超标。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莲藕（去皮）</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切开色白，无泥，不烂，去皮、无农药超标。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嫩莲藕</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切开色白，无泥，不烂，去皮、无农药超标。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铁棍山药</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0.8斤/条、直径3厘米</w:t>
            </w:r>
          </w:p>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新鲜、细长均匀、无腐烂、无泥土、无农药超标。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淮山</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0.8斤/条、直径3厘米</w:t>
            </w:r>
          </w:p>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新鲜、个大肉厚，无农药，口感甜糯，无农药超标。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葛根</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新鲜、无污染，清香回甘、无虫害、无农药超标。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小土豆</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12～15个/斤</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新鲜、大小均匀，无黑心、无痕无芽、无农药超标。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土豆</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0.5～0.7斤/个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新鲜、大小均匀，无黑心、无痕无芽、去皮、无农药超标。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鲜毛豆仁</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个体结实饱满、翠绿、鲜嫩、无农药超标。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带壳毛豆</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个体结实饱满、翠绿、鲜嫩、无农药超标。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冬豆</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个体结实饱满、翠绿、鲜嫩、无农药超标。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冬豆粒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个体结实饱满、翠绿、鲜嫩、无农药超标。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秋葵</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新鲜、色泽青绿，秋葵肉质脆嫩，润滑，风味独特、无农药超标。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青豆角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青绿，鲜嫩，无虫眼，粗细均匀、检疫合格、无农药超标。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肉豆角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青绿，鲜嫩，无虫眼，粗细均匀、检疫合格、无农药超标。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净荷兰豆（剥）</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青绿，鲜嫩，无虫眼，粗细均匀、检疫合格、剥筋、无农药超标。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七彩椒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青美人椒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新鲜、圆润光泽，表皮青绿色，无农药，香辣、无农药超标。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红美人椒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新鲜、圆润光泽，表皮亮红色，无农药香辣、无农药超标。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尖椒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油亮清润，颗颗饱满，口感香辣，无腐烂、无农药超标。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青圆椒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色绿、体形大、无虫眼破损，去头、无农药超标。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红圆椒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新鲜、色红、体形大、无虫眼破损、无农药超标。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黄圆椒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新鲜、色红、体形大、无虫眼破损、无农药超标。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指天椒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新鲜，红色，不烂蒂、无农药超标。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小米椒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新鲜，不烂蒂、无农药超标。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胡萝卜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直径约3.5厘米</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新鲜、无裂痕，脆嫩不空心，无泥，粗细均匀、坚实无虫眼、大小均匀、去皮、无农药超标。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青萝卜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直径约3.5厘米</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新鲜、无裂痕，脆嫩不空心，无泥，粗细均匀、坚实无虫眼、大小均匀、去皮、无农药超标。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白萝卜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新鲜、无裂痕，脆嫩不空心，无泥，粗细均匀，去皮、无农药超标。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甜玉米棒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自然熟，水分足，颗粒饱满，金黄色，无虫，香甜、无农药超标。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糯玉米棒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甜玉米粒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糯玉米粒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花糯玉米棒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自然熟，水分足，颗粒饱满，白色，无虫，香糯、无农药超标。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白糯玉米棒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自然熟，水分足，颗粒饱满，白色，无虫，香糯、无农药超标。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去皮菠萝</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新鲜、大小均匀，无异味、无农药超标。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雪菜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150克/袋</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鲜嫩脆爽、无过期、无农药超标。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外婆菜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200g/包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鲜嫩脆爽、无过期、无农药超标。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白金针菇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外形白色，大小均匀，无药水，无腐烂，滑润可口、无农药超标。鲜嫩、稍厚，细密，具香味、无农药超标。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鲜香菇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外形白色，大小均匀，无药水，无腐烂，滑润可口、无农药超标。鲜嫩、稍厚，细密，具香味、无农药超标。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白蘑菇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鲜嫩、无杂质、菇蒂不能过长、无泡水，无异味、无农药超标。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蟹味菇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猪肚菇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鸡腿菇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小鲍菇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凤尾菇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大鲍菇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（黄）金针菇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海鲜菇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茶树菇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鸡仔菇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鸡枞菌</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草菇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茨菇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鲜银耳</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板栗</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去壳板栗</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板栗仁</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酸萝卜苗</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酸香味自然、无杂质、无腐烂。无沙</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酸柠檬</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酸香味自然、无杂质、无腐烂。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酸山黄皮</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酸香味自然、无杂质、无腐烂。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酸红姜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大小均匀，无杂质、无腐烂。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东北酸白菜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酸香味自然、无杂质、无腐烂。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青菜泡制，无污染，酸脆鲜香、酸香自然。</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酸笋</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小条酸菜</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酸味自然、无异味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酸笋丝</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八渡笋片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5斤/袋</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色泽自然、无过期、无异味。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八渡笋丝</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5斤/袋</w:t>
            </w:r>
          </w:p>
        </w:tc>
        <w:tc>
          <w:tcPr>
            <w:tcW w:w="2796" w:type="pct"/>
            <w:vAlign w:val="center"/>
          </w:tcPr>
          <w:p>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色泽自然、无过期、无异味。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酸野山椒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酸味自然、无杂质、无变质。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红泡椒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椒肉肥厚，嫩脆酸辣，无异味、酸味自然、无农药超标。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泡椒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椒肉肥厚，嫩脆酸辣，无异味、酸味自然、无农药超标。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酸荞头</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酸味自然、无杂质、无变质。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酸豆角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酸味自然、无杂质、无变质。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酸味自然、无杂质、无变质。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酸辣椒</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酸味自然、无杂质、无变质。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藕带</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口味自然、无杂质、无变质。无过期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油腐片</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油腐丝</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油果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老豆腐</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五香腐干</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白豆腐干</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不添加防腐剂，豆干厚实，绵软劲道。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水豆腐</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黑豆腐</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米豆腐</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日本豆腐</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新鲜、无杂质，不过期。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魔芋豆腐</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粉虫</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新鲜、无异味、检疫合格。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粉利</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新鲜、无异味、检疫合格。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粉皮</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条</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新鲜、无异味、检疫合格。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盐梅菜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无杂质、无异味、无变质。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梅菜干</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无杂质、无异味、无变质。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冬菜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无杂质、无异味、无变质。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海带结</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3斤件</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无异味、无变质、无杂质。无过期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海带丝</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3斤件</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无异味、无变质、无杂质。无过期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干海带</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无异味、无变质、无杂质。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鱼腥草</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雷公根</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蕃茜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腌制榨菜头</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整个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清脆爽口、无变质、无过期。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头菜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散袋</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黄瓜皮</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散袋</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什锦瓜丝</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瓶</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鲜虫草花</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pacing w:val="-17"/>
                <w:kern w:val="0"/>
                <w:sz w:val="22"/>
                <w:lang w:bidi="ar"/>
              </w:rPr>
              <w:t>鲜芭蕉叶</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鲜粽叶</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宽12</w:t>
            </w:r>
            <w:r>
              <w:rPr>
                <w:rFonts w:ascii="Arial" w:hAnsi="Arial" w:eastAsia="宋体" w:cs="Arial"/>
                <w:color w:val="000000"/>
                <w:kern w:val="0"/>
                <w:sz w:val="22"/>
                <w:lang w:bidi="ar"/>
              </w:rPr>
              <w:t>×</w:t>
            </w:r>
            <w:r>
              <w:rPr>
                <w:rFonts w:hint="eastAsia" w:ascii="宋体" w:hAnsi="宋体" w:eastAsia="宋体" w:cs="宋体"/>
                <w:color w:val="000000"/>
                <w:kern w:val="0"/>
                <w:sz w:val="22"/>
                <w:lang w:bidi="ar"/>
              </w:rPr>
              <w:t>长55cm/张</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新鲜、无虫害。100张/扎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桂林米粉（细圆粉）</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5kg</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新鲜、检验合格、无过期、无异味、无杂质、无污染。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陈村粉</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5kg</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新鲜、检验合格、无过期、无异味、无杂质、无污染。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切粉</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5kg</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新鲜、检验合格、无过期、无异味、无杂质、无污染。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青茄子</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新鲜，大小均匀，无疤痕，无农药超标。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茼蒿菜</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新鲜、根透白，颜色翠绿、无斑点，无黄叶，检验合格、鲜嫩、无农药超标。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小叶茼蒿菜</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新鲜、根透白，颜色翠绿、无斑点，无黄叶，检验合格、鲜嫩、无农药超标。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小白菜</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快菜</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兰豆苗</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板栗 南瓜</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肉质金黄，表皮无破损，无腐烂，粉糯、无农药超标。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贝贝 南瓜</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肉质金黄，表皮无破损，无腐烂，粉糯、无农药超标。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生沙姜</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大小均匀，无杂质、无腐烂、无农药超标。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螺丝椒</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油亮清润，颗颗饱满，口感香辣，无腐烂、无农药超标。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松茸菌</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酸芋檬</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酸香味自然、无杂质、无腐烂。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泡红指天椒</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酸香味自然、无杂质、无腐烂。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红富士苹果（小）</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3个/斤</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具有相似品种/品牌特征，果面洁净，脆甜爽口、无机械伤、无腐烂、无异味、无病虫害、无农药超标。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苹果（大）</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2个/斤</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具有相似品种/品牌特征，果面洁净，脆甜爽口、无机械伤、无腐烂、无异味、无病虫害、无农药超标。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雪梨</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3个/斤</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果圆润，果皮黄绿相间，果点小而密；肉白皮薄，酥脆，汁多，味浓甜、无农药超标。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香梨</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4个/斤</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果形端正，大小均匀，无畸形果，带果柄；果面新鲜洁净，无刺划伤，无压痕，无病虫害；身重结实，味道爽甜、无农药超标。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秋月梨</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果形端正，大小均匀、新鲜、脆甜爽口、无虫害、无农药超标。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李果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果形端正，大小均匀、新鲜、脆甜爽口、无虫害、无农药超标。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葡萄（无籽）</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果穗完整，新鲜洁净，外形美观，无任何病斑或裂口，无异常的外部水分，无异常气味和滋味，具有适于市场和贮存要求的生理成熟度、无农药超标。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巨峰 葡萄</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果形、色泽良好，无裂果，无腐烂，无病虫害，无药害及其它伤害，大小均匀，果身结实不软塌，无异常气味或滋味，新鲜、无农药超标。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阳光玫瑰</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果皮无伤且无腐烂，新鲜、无农药超标。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红提</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果皮无伤且无腐烂，新鲜、无农药超标。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黑提</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果实色泽为篮紫色，颗颗肉饱满，肉质实，脆甜无籽、无农药超标。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香蕉</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4个/斤</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果实丰满，果形端正，梳柄完整，不缺只口，单果均匀；色泽自然、光亮；皮色青黄，果面光滑，无病黑斑，无虫疤，无霉菌，无创伤；果肉稍硬；果皮可剥或易剥、无农药超标。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芭蕉</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5个～6个/斤</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果实丰满，果形端正，梳柄完整，不缺只口，单果均匀；色泽自然、光亮；皮色青黄，果面光滑，无病黑斑，无虫疤，无霉菌，无创伤；果肉稍硬；果皮可剥或易剥、无农药超标。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菠萝蜜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香甜、果肉厚实，新鲜有弹性，无异味、无农药超标。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熟木瓜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果形端正，呈椭圆或橄榄形,果皮无伤且无腐烂,肉质厚实紧致，香甜多汁、无农药超标。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夏威夷木瓜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1.3斤～1.5斤/个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果形端正，呈椭圆或橄榄形,果皮无伤且无腐烂,肉质厚实紧致，香甜多汁、大小均匀、无农药超标。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净木菠萝肉</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香甜、果肉厚实，新鲜有弹性，无异味、无农药超标。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网纹瓜</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瓜形端正，呈椭圆或橄榄形，瓜身坚实微软，果皮无伤且无腐烂，切开色泽鲜艳光润，大小均匀，香气浓郁、无农药超标。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哈密瓜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瓜形端正，呈椭圆或橄榄形，瓜身坚实微软，果皮无伤且无腐烂，切开色泽鲜艳光润，大小均匀，香气浓郁、无农药超标。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外形美观、果肉细腻、脆甜爽口、无农药超标。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麒麟西瓜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椭圆外形，果肉鲜红，甜润多汁，新鲜、无农药超标。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甘美西瓜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新鲜，果肉鲜红，肉质多汁，香甜、无农药超标。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无籽西瓜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椭圆外形，果肉鲜红，水润多汁，肉质香甜，新鲜、无农药超标。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水蜜桃</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0.5斤/个</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果实坚实。无腐烂，无软塌，无皱缩，大小均匀、脆甜、新鲜、无农药超标。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油桃</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果形端正，大小均匀、新鲜、脆甜无虫害、无农药超标。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猕猴桃   </w:t>
            </w:r>
            <w:r>
              <w:rPr>
                <w:rFonts w:hint="eastAsia" w:ascii="宋体" w:hAnsi="宋体" w:eastAsia="宋体" w:cs="宋体"/>
                <w:color w:val="000000"/>
                <w:kern w:val="0"/>
                <w:sz w:val="18"/>
                <w:szCs w:val="18"/>
                <w:lang w:bidi="ar"/>
              </w:rPr>
              <w:t>（红心）</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具有该品种固有的特征。果实应无缺陷，但允许有不影响产品总体外观、质量、贮存性的很轻微的表面疵点，新鲜、无农药超标。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猕猴桃   </w:t>
            </w:r>
            <w:r>
              <w:rPr>
                <w:rFonts w:hint="eastAsia" w:ascii="宋体" w:hAnsi="宋体" w:eastAsia="宋体" w:cs="宋体"/>
                <w:color w:val="000000"/>
                <w:kern w:val="0"/>
                <w:sz w:val="18"/>
                <w:szCs w:val="18"/>
                <w:lang w:bidi="ar"/>
              </w:rPr>
              <w:t>（黄心）</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具有该品种固有的特征。果实应无缺陷，但允许有不影响产品总体外观、质量、贮存性的很轻微的表面疵点，新鲜、无农药超标。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圣女果   </w:t>
            </w:r>
            <w:r>
              <w:rPr>
                <w:rFonts w:hint="eastAsia" w:ascii="宋体" w:hAnsi="宋体" w:eastAsia="宋体" w:cs="宋体"/>
                <w:color w:val="000000"/>
                <w:kern w:val="0"/>
                <w:sz w:val="18"/>
                <w:szCs w:val="18"/>
                <w:lang w:bidi="ar"/>
              </w:rPr>
              <w:t>（红色）</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新鲜、脆甜、大小均匀，无病虫害、无农药超标。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西梅</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新鲜、脆甜、果形端正，大小均匀，无病虫害、无农药超标。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贵妃芒果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果实应无缺陷，允许有不影响产品总体外观、质量、贮存性的很轻微的表面疵点，无虫害、新鲜、清香、甜滑口、无农药超标。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金煌芒果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果实应无缺陷，允许有不影响产品总体外观、质量、贮存性的很轻微的表面疵点，无虫害、新鲜、清香、甜滑口、无农药超标。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桂七芒果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果实应无缺陷，允许有不影响产品总体外观、质量、贮存性的很轻微的表面疵点，新鲜、无虫害、清香、无农药超标。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沃柑</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具有该品种固有的特征。表皮光滑、新鲜、甜、无农药超标。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沙糖桔</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具有该品种固有的特征。表皮光滑、新鲜、甜、无农药超标。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冰糖橙</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具有该品种固有的特征。表皮光滑、新鲜、甜、无农药超标。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脐橙</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大小均匀，皮光滑并有光泽，手感重，无机械损伤。易剥离，水分足果汁多，味可口，无萎蔫，表皮光滑、新鲜、甜、无农药超标。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沙田柚</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新鲜、果形端正，大小均匀、微酸带甜、水分足、无农药超标。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蓝莓</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新鲜、果形端正，大小均匀、微酸带甜、水分足、无农药超标。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龙眼</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具有该品种固有的特征。果实应无缺陷、新鲜、果甜多汁、无虫眼、无农药超标。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荔枝</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具有该品种固有的特征。果实应无缺陷、新鲜、果甜多汁、无虫眼、无农药超标。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番石榴 </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果形、色泽良好，无裂果，无腐烂，无病虫害，无药害及其它伤害，大小均匀，果身结实不软塌，无异常气味，新鲜、脆甜、无农药超标。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杨梅</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色泽良好，无裂果，无腐烂，无病虫害，无药害及其它伤害，大小均匀，果身结实不软塌，无异常气味，新鲜、糯香甜、无农药超标。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山竹</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果形端正，大小均匀，带果柄；果面新鲜洁净，无刺划伤，无压痕，无病虫害、身重结实、无农药超标。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大青枣</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色泽良好，无裂果，无腐烂，无病虫害，大小均匀，果身结实不软塌，无异常气味，新鲜、脆甜、无农药超标。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冬枣</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色泽良好，无裂果，无腐烂，无病虫害，大小均匀，果身结实不软塌，无异常气味，新鲜、脆甜、无农药超标。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火龙果   </w:t>
            </w:r>
            <w:r>
              <w:rPr>
                <w:rFonts w:hint="eastAsia" w:ascii="宋体" w:hAnsi="宋体" w:eastAsia="宋体" w:cs="宋体"/>
                <w:color w:val="000000"/>
                <w:kern w:val="0"/>
                <w:sz w:val="18"/>
                <w:szCs w:val="18"/>
                <w:lang w:bidi="ar"/>
              </w:rPr>
              <w:t>（白心）</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1.2斤/个以上</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叶片青，果实坚实。无腐烂，无软塌，无皱缩，大小均匀，新鲜、甜、无农药超标。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火龙果   </w:t>
            </w:r>
            <w:r>
              <w:rPr>
                <w:rFonts w:hint="eastAsia" w:ascii="宋体" w:hAnsi="宋体" w:eastAsia="宋体" w:cs="宋体"/>
                <w:color w:val="000000"/>
                <w:kern w:val="0"/>
                <w:sz w:val="18"/>
                <w:szCs w:val="18"/>
                <w:lang w:bidi="ar"/>
              </w:rPr>
              <w:t>（红心）</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0.7斤/个以上</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叶片青，果实坚实。无腐烂，无软塌，无皱缩，大小均匀，新鲜、甜、无农药超标。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ind w:firstLine="220" w:firstLineChars="100"/>
              <w:textAlignment w:val="center"/>
              <w:rPr>
                <w:rFonts w:ascii="宋体" w:hAnsi="宋体" w:eastAsia="宋体" w:cs="宋体"/>
                <w:color w:val="000000"/>
                <w:sz w:val="22"/>
              </w:rPr>
            </w:pPr>
            <w:r>
              <w:rPr>
                <w:rFonts w:hint="eastAsia" w:ascii="宋体" w:hAnsi="宋体" w:eastAsia="宋体" w:cs="宋体"/>
                <w:color w:val="000000"/>
                <w:kern w:val="0"/>
                <w:sz w:val="22"/>
                <w:lang w:bidi="ar"/>
              </w:rPr>
              <w:t>羊角蜜</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果形端正，大小均匀、新鲜、无农药超标。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草莓</w:t>
            </w:r>
            <w:r>
              <w:rPr>
                <w:rFonts w:hint="eastAsia" w:ascii="宋体" w:hAnsi="宋体" w:eastAsia="宋体" w:cs="宋体"/>
                <w:color w:val="000000"/>
                <w:kern w:val="0"/>
                <w:sz w:val="18"/>
                <w:szCs w:val="18"/>
                <w:lang w:bidi="ar"/>
              </w:rPr>
              <w:t>（本地）</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色泽良好，无裂果，无腐烂，无病虫害，无药害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草莓</w:t>
            </w:r>
            <w:r>
              <w:rPr>
                <w:rFonts w:hint="eastAsia" w:ascii="宋体" w:hAnsi="宋体" w:eastAsia="宋体" w:cs="宋体"/>
                <w:color w:val="000000"/>
                <w:kern w:val="0"/>
                <w:sz w:val="18"/>
                <w:szCs w:val="18"/>
                <w:lang w:bidi="ar"/>
              </w:rPr>
              <w:t>（进口）</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色泽良好，无裂果，无腐烂，无病虫害，无药害及其它伤害，大小均匀，果身结实不软塌，无异常气味，新鲜、无农药超标。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枇杷</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色泽良好，无裂果，无腐烂，无病虫害，无药害及其它伤害，大小均匀，果身结实不软塌，无异常气味，新鲜、无农药超标。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金桔</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色泽良好，无裂果，无腐烂，无病虫害，无药害及其它伤害，大小均匀，果身结实不软塌，无异常气味，新鲜、甜、无农药超标。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莲雾</w:t>
            </w:r>
          </w:p>
        </w:tc>
        <w:tc>
          <w:tcPr>
            <w:tcW w:w="947" w:type="pct"/>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色泽良好，无裂果，无腐烂，无病虫害，无药害及其它伤害，大小均匀，果身结实不软塌，无异常气味，新鲜、甜、无农药超标。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百香果</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色泽良好，无裂果，无腐烂，无病虫害，无药害及其它伤害，大小均匀，果身结实不软塌，无异常气味，新鲜、甜、无农药超标。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黄金百香果</w:t>
            </w:r>
          </w:p>
        </w:tc>
        <w:tc>
          <w:tcPr>
            <w:tcW w:w="947" w:type="pct"/>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色泽金黄，香甜可口，无裂果，无腐烂，无病虫害，无药害及其它伤害，大小均匀，果身结实不软塌，无异常气味，新鲜、甜、无农药超标。</w:t>
            </w:r>
          </w:p>
        </w:tc>
      </w:tr>
    </w:tbl>
    <w:p>
      <w:pPr>
        <w:suppressAutoHyphens/>
        <w:autoSpaceDE w:val="0"/>
        <w:autoSpaceDN w:val="0"/>
        <w:adjustRightInd w:val="0"/>
        <w:spacing w:after="120"/>
        <w:jc w:val="left"/>
        <w:rPr>
          <w:rFonts w:ascii="仿宋_GB2312" w:hAnsi="仿宋_GB2312" w:eastAsia="仿宋_GB2312" w:cs="仿宋_GB2312"/>
          <w:color w:val="000000" w:themeColor="text1"/>
          <w:kern w:val="0"/>
          <w:szCs w:val="21"/>
          <w14:textFill>
            <w14:solidFill>
              <w14:schemeClr w14:val="tx1"/>
            </w14:solidFill>
          </w14:textFill>
        </w:rPr>
      </w:pPr>
    </w:p>
    <w:p>
      <w:pPr>
        <w:suppressAutoHyphens/>
        <w:autoSpaceDE w:val="0"/>
        <w:autoSpaceDN w:val="0"/>
        <w:adjustRightInd w:val="0"/>
        <w:spacing w:after="120"/>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干杂调料、粮油、饮料类</w:t>
      </w:r>
    </w:p>
    <w:tbl>
      <w:tblPr>
        <w:tblStyle w:val="6"/>
        <w:tblpPr w:leftFromText="180" w:rightFromText="180" w:vertAnchor="text" w:horzAnchor="page" w:tblpX="1123" w:tblpY="71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17"/>
        <w:gridCol w:w="1592"/>
        <w:gridCol w:w="1820"/>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823" w:type="pct"/>
            <w:tcMar>
              <w:top w:w="15" w:type="dxa"/>
              <w:left w:w="15" w:type="dxa"/>
              <w:right w:w="15" w:type="dxa"/>
            </w:tcMar>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品种</w:t>
            </w:r>
          </w:p>
        </w:tc>
        <w:tc>
          <w:tcPr>
            <w:tcW w:w="941" w:type="pct"/>
            <w:tcMar>
              <w:top w:w="15" w:type="dxa"/>
              <w:left w:w="15" w:type="dxa"/>
              <w:right w:w="15" w:type="dxa"/>
            </w:tcMar>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规格</w:t>
            </w:r>
          </w:p>
        </w:tc>
        <w:tc>
          <w:tcPr>
            <w:tcW w:w="2554" w:type="pct"/>
            <w:tcMar>
              <w:top w:w="15" w:type="dxa"/>
              <w:left w:w="15" w:type="dxa"/>
              <w:right w:w="15" w:type="dxa"/>
            </w:tcMar>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质量要求及验收标准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培根</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包（4斤）</w:t>
            </w:r>
          </w:p>
        </w:tc>
        <w:tc>
          <w:tcPr>
            <w:tcW w:w="2554" w:type="pct"/>
            <w:tcMar>
              <w:top w:w="15" w:type="dxa"/>
              <w:left w:w="15" w:type="dxa"/>
              <w:right w:w="15" w:type="dxa"/>
            </w:tcMar>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火腿肠</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350g/包</w:t>
            </w:r>
          </w:p>
        </w:tc>
        <w:tc>
          <w:tcPr>
            <w:tcW w:w="2554" w:type="pct"/>
            <w:tcMar>
              <w:top w:w="15" w:type="dxa"/>
              <w:left w:w="15" w:type="dxa"/>
              <w:right w:w="15" w:type="dxa"/>
            </w:tcMar>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三文治火腿</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2.5公斤/条</w:t>
            </w:r>
          </w:p>
        </w:tc>
        <w:tc>
          <w:tcPr>
            <w:tcW w:w="2554" w:type="pct"/>
            <w:tcMar>
              <w:top w:w="15" w:type="dxa"/>
              <w:left w:w="15" w:type="dxa"/>
              <w:right w:w="15" w:type="dxa"/>
            </w:tcMar>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精制猪油（桶装）</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15L/桶</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人造黄奶油</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15公斤/桶</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上林丝苗香米</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净重25公斤/袋</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1.符合GB1354要求，质量等级：籼米三级，2.包装完整，注册商标、厂名、厂址、质量等级、重量、SC证号等各类标识清楚。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上林九七香米</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净重5公斤/袋</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1.符合GB1354要求，质量等级：籼米三级，2.包装完整，注册商标、厂名、厂址、质量等级、重量、SC证号等各类标识清楚。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五常大米</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净重5公斤/袋</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1.符合GB1354要求，质量等级：籼米三级，2.包装完整，注册商标、厂名、厂址、质量等级、重量、SC证号等各类标识清楚。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上林金丝苗晚稻香米</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净重5公斤/袋</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1.符合GB1354要求，质量等级：籼米三级，2.包装完整，注册商标、厂名、厂址、质量等级、重量、SC证号等各类标识清楚。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油粘米</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5kg</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1.符合GB1354要求，质量等级：籼米三级，2.包装完整，注册商标、厂名、厂址、质量等级、重量、SC证号等各类标识清楚。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小麦面粉 （六星）</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净重25公斤/袋</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馒头小麦粉</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25公斤</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蛋糕粉</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25公斤</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高筋面粉</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净重22.68公斤/袋</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方便面</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桶</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面条</w:t>
            </w:r>
          </w:p>
        </w:tc>
        <w:tc>
          <w:tcPr>
            <w:tcW w:w="941" w:type="pct"/>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500g/扎</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荞麦面</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880g/扎</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植物调和油（花生香型）</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10L×</w:t>
            </w:r>
            <w:r>
              <w:rPr>
                <w:rFonts w:ascii="Times New Roman" w:hAnsi="Times New Roman" w:eastAsia="宋体" w:cs="Times New Roman"/>
                <w:color w:val="000000"/>
                <w:kern w:val="0"/>
                <w:sz w:val="22"/>
                <w:lang w:bidi="ar"/>
              </w:rPr>
              <w:t>2</w:t>
            </w:r>
            <w:r>
              <w:rPr>
                <w:rFonts w:hint="eastAsia" w:ascii="宋体" w:hAnsi="宋体" w:eastAsia="宋体" w:cs="宋体"/>
                <w:color w:val="000000"/>
                <w:kern w:val="0"/>
                <w:sz w:val="22"/>
                <w:lang w:bidi="ar"/>
              </w:rPr>
              <w:t>桶</w:t>
            </w:r>
            <w:r>
              <w:rPr>
                <w:rFonts w:ascii="Times New Roman" w:hAnsi="Times New Roman" w:eastAsia="宋体" w:cs="Times New Roman"/>
                <w:color w:val="000000"/>
                <w:kern w:val="0"/>
                <w:sz w:val="22"/>
                <w:lang w:bidi="ar"/>
              </w:rPr>
              <w:t>/</w:t>
            </w:r>
            <w:r>
              <w:rPr>
                <w:rFonts w:hint="eastAsia" w:ascii="宋体" w:hAnsi="宋体" w:eastAsia="宋体" w:cs="宋体"/>
                <w:color w:val="000000"/>
                <w:kern w:val="0"/>
                <w:sz w:val="22"/>
                <w:lang w:bidi="ar"/>
              </w:rPr>
              <w:t>箱</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符合国家食用油的有关标准，不能含有转基因成份，包装完整，注册商标、厂名、厂址、质量等级、重量、生产日期、保质期、SC证号等各类标识清楚。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压榨一级花生油</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5L×</w:t>
            </w:r>
            <w:r>
              <w:rPr>
                <w:rFonts w:ascii="Times New Roman" w:hAnsi="Times New Roman" w:eastAsia="宋体" w:cs="Times New Roman"/>
                <w:color w:val="000000"/>
                <w:kern w:val="0"/>
                <w:sz w:val="22"/>
                <w:lang w:bidi="ar"/>
              </w:rPr>
              <w:t>4</w:t>
            </w:r>
            <w:r>
              <w:rPr>
                <w:rFonts w:hint="eastAsia" w:ascii="宋体" w:hAnsi="宋体" w:eastAsia="宋体" w:cs="宋体"/>
                <w:color w:val="000000"/>
                <w:kern w:val="0"/>
                <w:sz w:val="22"/>
                <w:lang w:bidi="ar"/>
              </w:rPr>
              <w:t>桶</w:t>
            </w:r>
            <w:r>
              <w:rPr>
                <w:rFonts w:ascii="Times New Roman" w:hAnsi="Times New Roman" w:eastAsia="宋体" w:cs="Times New Roman"/>
                <w:color w:val="000000"/>
                <w:kern w:val="0"/>
                <w:sz w:val="22"/>
                <w:lang w:bidi="ar"/>
              </w:rPr>
              <w:t>/</w:t>
            </w:r>
            <w:r>
              <w:rPr>
                <w:rFonts w:hint="eastAsia" w:ascii="宋体" w:hAnsi="宋体" w:eastAsia="宋体" w:cs="宋体"/>
                <w:color w:val="000000"/>
                <w:kern w:val="0"/>
                <w:sz w:val="22"/>
                <w:lang w:bidi="ar"/>
              </w:rPr>
              <w:t>箱</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符合国家食用油的有关标准，不能含有转基因成份，包装完整，注册商标、厂名、厂址、质量等级、重量、生产日期、保质期、SC证号等各类标识清楚。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粘米粉</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糯米粉</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精选本地黄豆</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精选绿豆</w:t>
            </w:r>
          </w:p>
        </w:tc>
        <w:tc>
          <w:tcPr>
            <w:tcW w:w="941" w:type="pct"/>
            <w:tcMar>
              <w:top w:w="15" w:type="dxa"/>
              <w:left w:w="15" w:type="dxa"/>
              <w:right w:w="15" w:type="dxa"/>
            </w:tcMar>
            <w:vAlign w:val="center"/>
          </w:tcPr>
          <w:p>
            <w:pPr>
              <w:widowControl/>
              <w:spacing w:line="260" w:lineRule="exact"/>
              <w:ind w:firstLine="660" w:firstLineChars="300"/>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精选花生仁</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精选绿豆</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精选黄玉米粒</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精选白玉米头</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燕麦片</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北方糯黄小米</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龟苓膏粉</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300g/包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山腐竹</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300g/包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紫菜</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10g/包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粉丝</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风干萝卜丁</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4.75kg/件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西米</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榨菜丝</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80g/包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土鸡蛋  </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360枚/件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初生蛋</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12枚/盒</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海鸭蛋</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约6个/斤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皮蛋</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鹌鹑蛋</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咸蛋</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干香菇</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菌朵干燥，菌盖厚，完整均匀带有菌香，无霉味和其他气味。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干云耳</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朵片干燥完整，耳片厚，耳片黑褐色，背面灰色，无拳耳，无流耳，无流失耳，无虫蛀，无霉变。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干木耳</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朵片干燥完整，耳片厚，耳片黑褐色，背面灰色，无拳耳，无流耳，无流失耳，无虫蛀，无霉变。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干海带片</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色泽褐绿色，叶片长而宽厚，无任何斑点，无杂质，无霉变。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干裙带菜</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色泽褐绿色，叶片长而宽厚，无任何斑点，无杂质，无霉变。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鸡骨草</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干辣椒段</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色泽鲜红有光泽，大小均匀，去梗去蒂，有辣椒香气，无花斑，无杂质，无霉变。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枸杞</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色泽暗紫红色有光泽，肉质饱满，颗粒均匀，无虫蛀，无霉变，不含硫磺。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陈皮</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香叶</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叶面干燥，带有香气，无花斑，无杂质，无虫蛀，无霉变，不含硫磺。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玉竹</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表皮黄白色，无杂质，无虫蛀，无霉变，不含硫磺。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干山药</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表皮黄白色，无杂质，无虫蛀，无霉变，不含硫磺。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干淮山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表皮黄白色，无杂质，无虫蛀，无霉变，不含硫磺。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八角</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瓣角整齐完整，尖角平直，颗粒均匀，无杂质，无虫蛀，无霉变，不含硫磺。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桂皮</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表皮干燥呈灰褐色，无花斑，无杂质，无虫蛀，无霉变，不含硫磺。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党参</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表皮干燥呈黄棕色，无花斑，无杂质，无虫蛀，无霉变，不含硫磺。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沙参</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tabs>
                <w:tab w:val="left" w:pos="780"/>
              </w:tabs>
              <w:spacing w:line="260" w:lineRule="exact"/>
              <w:jc w:val="center"/>
              <w:textAlignment w:val="center"/>
              <w:rPr>
                <w:rFonts w:ascii="Times New Roman" w:hAnsi="Times New Roman" w:eastAsia="宋体" w:cs="Calibri"/>
                <w:szCs w:val="21"/>
              </w:rPr>
            </w:pPr>
            <w:r>
              <w:rPr>
                <w:rFonts w:hint="eastAsia" w:ascii="宋体" w:hAnsi="宋体" w:eastAsia="宋体" w:cs="宋体"/>
                <w:color w:val="000000"/>
                <w:kern w:val="0"/>
                <w:sz w:val="22"/>
                <w:lang w:bidi="ar"/>
              </w:rPr>
              <w:t>西洋参</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花旗参</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鲜人参</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天麻</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tabs>
                <w:tab w:val="left" w:pos="780"/>
              </w:tabs>
              <w:spacing w:line="260" w:lineRule="exact"/>
              <w:jc w:val="center"/>
              <w:textAlignment w:val="center"/>
              <w:rPr>
                <w:rFonts w:ascii="Times New Roman" w:hAnsi="Times New Roman" w:eastAsia="宋体" w:cs="Calibri"/>
                <w:szCs w:val="21"/>
              </w:rPr>
            </w:pPr>
            <w:r>
              <w:rPr>
                <w:rFonts w:hint="eastAsia" w:ascii="宋体" w:hAnsi="宋体" w:eastAsia="宋体" w:cs="宋体"/>
                <w:color w:val="000000"/>
                <w:kern w:val="0"/>
                <w:sz w:val="22"/>
                <w:lang w:bidi="ar"/>
              </w:rPr>
              <w:t>土茯苓</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干茉莉花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干虫草花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干百合</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海底椰</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草果</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山黄皮</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红花椒</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罗汉果</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散装/个</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个大形圆，个体均匀，色泽黄褐色，摇不响，壳不破，无霉变，不含硫磺。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甘草片</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颗粒干燥均匀，表皮淡绿色，无杂质，无虫蛀，无霉变，不含硫磺。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沙姜片</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颗粒干燥均匀，色白，有姜香味，无杂质，无虫蛀，无霉变，不含硫磺。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当归片</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表皮干燥呈棕褐色，无杂质，无虫蛀，无霉变，不含硫磺。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白蔻</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颗粒干燥饱满均匀，表皮淡黄色，气味清凉芳香，无杂质，无虫蛀，无霉变，不含硫磺。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tabs>
                <w:tab w:val="left" w:pos="780"/>
              </w:tabs>
              <w:spacing w:line="260" w:lineRule="exact"/>
              <w:jc w:val="center"/>
              <w:textAlignment w:val="center"/>
              <w:rPr>
                <w:rFonts w:ascii="Times New Roman" w:hAnsi="Times New Roman" w:eastAsia="宋体" w:cs="Calibri"/>
                <w:szCs w:val="21"/>
              </w:rPr>
            </w:pPr>
            <w:r>
              <w:rPr>
                <w:rFonts w:hint="eastAsia" w:ascii="宋体" w:hAnsi="宋体" w:eastAsia="宋体" w:cs="宋体"/>
                <w:color w:val="000000"/>
                <w:kern w:val="0"/>
                <w:sz w:val="22"/>
                <w:lang w:bidi="ar"/>
              </w:rPr>
              <w:t>干花椒</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颗粒干燥饱满均匀，表皮淡黄色，气味清凉芳香，无杂质，无虫蛀，无霉变，不含硫磺。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胡椒粒</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颗粒干燥饱满均匀，表皮淡黄色，气味清凉芳香，无杂质，无虫蛀，无霉变，不含硫磺。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茴香</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颗粒干燥饱满均匀，表皮黄绿色，无杂质，无虫蛀，无霉变，不含硫磺。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丁香</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颗粒干燥饱满均匀，表皮黄褐色，无杂质，无虫蛀，无霉变，不含硫磺。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黑米</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薏米</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红米</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赤小豆</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ind w:firstLine="440" w:firstLineChars="200"/>
              <w:textAlignment w:val="center"/>
              <w:rPr>
                <w:rFonts w:ascii="宋体" w:hAnsi="宋体" w:eastAsia="宋体" w:cs="宋体"/>
                <w:color w:val="000000"/>
                <w:sz w:val="22"/>
              </w:rPr>
            </w:pPr>
            <w:r>
              <w:rPr>
                <w:rFonts w:hint="eastAsia" w:ascii="宋体" w:hAnsi="宋体" w:eastAsia="宋体" w:cs="宋体"/>
                <w:color w:val="000000"/>
                <w:kern w:val="0"/>
                <w:sz w:val="22"/>
                <w:lang w:bidi="ar"/>
              </w:rPr>
              <w:t>上等蚝油</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6KG/桶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草菇老抽</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4.9L/桶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金标生抽</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4.9L/桶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古道料酒</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450ml/瓶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加碘食盐</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大红浙醋</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600ml/瓶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凤球唛番茄酱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85g/罐</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柱侯酱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6.5kg/桶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糯米白醋</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600ml/瓶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陈醋 (二年陈酿)</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420ml/瓶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盐焗鸡配料</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25*10包/盒</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豆腐乳</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610g/瓶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生粉</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25kg/袋</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辣椒酱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250g/瓶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南乳</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280g/瓶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芝麻香油</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350ml/瓶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小磨芝麻香油</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180ml/瓶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风味豆豉</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280g/瓶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鸡鲜粉 调味料</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450g/包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味精调味料</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1kg/包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黄豆酱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2Kg/瓶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蜂蜜</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900g/瓶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白胡椒粉</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25g*25包/袋</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孜然粉</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35g*25包/袋</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十三香</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45*10盒/条</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米酒30度</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500ml*20袋/件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叉烧酱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397g/瓶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排骨酱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397g/瓶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海鲜酱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397g/瓶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柱候酱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240g/瓶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红油豆瓣酱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6Kg/桶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味椒盐</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45g×12瓶/盒</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辣椒盐</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250g/瓶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黑椒汁</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310g/瓶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泰式  冬阴功酱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320g/瓶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黑砂糖</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25kg/袋</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黑糖片</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阳江姜豉</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200g/盒</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宁兴黄皮酱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5kg/桶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红花椒油</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400ml/瓶</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调制加糖炼乳</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350g/罐</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泡打粉</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2.7kg/罐</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食用小苏打</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250g/包</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干酵母</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500g/盒</w:t>
            </w:r>
          </w:p>
        </w:tc>
        <w:tc>
          <w:tcPr>
            <w:tcW w:w="2554"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甜辣酱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730ML/瓶</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豆酱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750g/瓶</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冰花酸梅酱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250g/瓶</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柠檬酱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220g/瓶</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干黄酱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lang w:val="en"/>
              </w:rPr>
            </w:pPr>
            <w:r>
              <w:rPr>
                <w:rFonts w:hint="eastAsia" w:ascii="宋体" w:hAnsi="宋体" w:eastAsia="宋体" w:cs="宋体"/>
                <w:color w:val="000000"/>
                <w:sz w:val="22"/>
              </w:rPr>
              <w:t>300g/盒</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财神蚝油</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907g/瓶</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sz w:val="22"/>
              </w:rPr>
              <w:t>美极鲜辣汁</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400ML/瓶</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sz w:val="22"/>
              </w:rPr>
              <w:t>家乐金酸汤调味酱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960g/瓶</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sz w:val="22"/>
              </w:rPr>
              <w:t>双合曹辣酱</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2.8kg/瓶</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sz w:val="22"/>
              </w:rPr>
              <w:t>酱油</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1.63L/瓶</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sz w:val="22"/>
              </w:rPr>
              <w:t>一品鲜酱油</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500ml/瓶</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sz w:val="22"/>
              </w:rPr>
              <w:t>味极鲜</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1.9L/瓶</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沙拉酱（香甜口味）</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200g/瓶</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不二奶酪</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1kg/瓶</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ind w:firstLine="220" w:firstLineChars="100"/>
              <w:textAlignment w:val="center"/>
              <w:rPr>
                <w:rFonts w:ascii="宋体" w:hAnsi="宋体" w:eastAsia="宋体" w:cs="宋体"/>
                <w:color w:val="000000"/>
                <w:sz w:val="22"/>
              </w:rPr>
            </w:pPr>
            <w:r>
              <w:rPr>
                <w:rFonts w:hint="eastAsia" w:ascii="宋体" w:hAnsi="宋体" w:eastAsia="宋体" w:cs="宋体"/>
                <w:color w:val="000000"/>
                <w:sz w:val="22"/>
              </w:rPr>
              <w:t>豆豉</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5kg/包</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莲蓉馅</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2.5kg/包</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豆沙馅</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2.5kg/包</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奶黄馅</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2.5kg/包</w:t>
            </w:r>
          </w:p>
        </w:tc>
        <w:tc>
          <w:tcPr>
            <w:tcW w:w="2554"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流沙馅</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2.5kg/包</w:t>
            </w:r>
          </w:p>
        </w:tc>
        <w:tc>
          <w:tcPr>
            <w:tcW w:w="2554"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黄面包糠</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260g/包</w:t>
            </w:r>
          </w:p>
        </w:tc>
        <w:tc>
          <w:tcPr>
            <w:tcW w:w="2554"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淋膜纸杯（小蛋盏专用）</w:t>
            </w:r>
          </w:p>
        </w:tc>
        <w:tc>
          <w:tcPr>
            <w:tcW w:w="941" w:type="pct"/>
            <w:tcMar>
              <w:top w:w="15" w:type="dxa"/>
              <w:left w:w="15" w:type="dxa"/>
              <w:right w:w="15" w:type="dxa"/>
            </w:tcMar>
            <w:vAlign w:val="center"/>
          </w:tcPr>
          <w:p>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100个/条</w:t>
            </w:r>
          </w:p>
        </w:tc>
        <w:tc>
          <w:tcPr>
            <w:tcW w:w="2554" w:type="pct"/>
            <w:tcMar>
              <w:top w:w="15" w:type="dxa"/>
              <w:left w:w="15" w:type="dxa"/>
              <w:right w:w="15" w:type="dxa"/>
            </w:tcMar>
            <w:vAlign w:val="center"/>
          </w:tcPr>
          <w:p>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包装完整，食品级纸杯。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酸奶</w:t>
            </w:r>
          </w:p>
        </w:tc>
        <w:tc>
          <w:tcPr>
            <w:tcW w:w="941"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ascii="宋体" w:hAnsi="宋体" w:eastAsia="宋体" w:cs="宋体"/>
                <w:color w:val="000000"/>
                <w:kern w:val="0"/>
                <w:sz w:val="22"/>
                <w:lang w:val="en" w:bidi="ar"/>
              </w:rPr>
              <w:t>12</w:t>
            </w:r>
            <w:r>
              <w:rPr>
                <w:rFonts w:hint="eastAsia" w:ascii="宋体" w:hAnsi="宋体" w:eastAsia="宋体" w:cs="宋体"/>
                <w:color w:val="000000"/>
                <w:kern w:val="0"/>
                <w:sz w:val="22"/>
                <w:lang w:bidi="ar"/>
              </w:rPr>
              <w:t>*</w:t>
            </w:r>
            <w:r>
              <w:rPr>
                <w:rFonts w:ascii="宋体" w:hAnsi="宋体" w:eastAsia="宋体" w:cs="宋体"/>
                <w:color w:val="000000"/>
                <w:kern w:val="0"/>
                <w:sz w:val="22"/>
                <w:lang w:val="en" w:bidi="ar"/>
              </w:rPr>
              <w:t>2</w:t>
            </w:r>
            <w:r>
              <w:rPr>
                <w:rFonts w:hint="eastAsia" w:ascii="宋体" w:hAnsi="宋体" w:eastAsia="宋体" w:cs="宋体"/>
                <w:color w:val="000000"/>
                <w:kern w:val="0"/>
                <w:sz w:val="22"/>
                <w:lang w:bidi="ar"/>
              </w:rPr>
              <w:t>30g</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高端原味酸奶</w:t>
            </w:r>
          </w:p>
        </w:tc>
        <w:tc>
          <w:tcPr>
            <w:tcW w:w="941"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val="en" w:bidi="ar"/>
              </w:rPr>
            </w:pPr>
            <w:r>
              <w:rPr>
                <w:rFonts w:ascii="宋体" w:hAnsi="宋体" w:eastAsia="宋体" w:cs="宋体"/>
                <w:color w:val="000000"/>
                <w:kern w:val="0"/>
                <w:sz w:val="22"/>
                <w:lang w:val="en" w:bidi="ar"/>
              </w:rPr>
              <w:t>12</w:t>
            </w:r>
            <w:r>
              <w:rPr>
                <w:rFonts w:hint="eastAsia" w:ascii="宋体" w:hAnsi="宋体" w:eastAsia="宋体" w:cs="宋体"/>
                <w:color w:val="000000"/>
                <w:kern w:val="0"/>
                <w:sz w:val="22"/>
                <w:lang w:bidi="ar"/>
              </w:rPr>
              <w:t>*</w:t>
            </w:r>
            <w:r>
              <w:rPr>
                <w:rFonts w:ascii="宋体" w:hAnsi="宋体" w:eastAsia="宋体" w:cs="宋体"/>
                <w:color w:val="000000"/>
                <w:kern w:val="0"/>
                <w:sz w:val="22"/>
                <w:lang w:val="en" w:bidi="ar"/>
              </w:rPr>
              <w:t>2</w:t>
            </w:r>
            <w:r>
              <w:rPr>
                <w:rFonts w:hint="eastAsia" w:ascii="宋体" w:hAnsi="宋体" w:eastAsia="宋体" w:cs="宋体"/>
                <w:color w:val="000000"/>
                <w:kern w:val="0"/>
                <w:sz w:val="22"/>
                <w:lang w:bidi="ar"/>
              </w:rPr>
              <w:t>50g</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金纯牛奶</w:t>
            </w:r>
          </w:p>
        </w:tc>
        <w:tc>
          <w:tcPr>
            <w:tcW w:w="941"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12*250g</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有机纯牛奶</w:t>
            </w:r>
          </w:p>
        </w:tc>
        <w:tc>
          <w:tcPr>
            <w:tcW w:w="941"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12*250g</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舒化低脂无糖奶</w:t>
            </w:r>
          </w:p>
        </w:tc>
        <w:tc>
          <w:tcPr>
            <w:tcW w:w="941"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12*220mml</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风味酸乳</w:t>
            </w:r>
          </w:p>
        </w:tc>
        <w:tc>
          <w:tcPr>
            <w:tcW w:w="941"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100ml*6</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上纯牛奶</w:t>
            </w:r>
          </w:p>
        </w:tc>
        <w:tc>
          <w:tcPr>
            <w:tcW w:w="941"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15*200ml</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醇养酸奶</w:t>
            </w:r>
          </w:p>
        </w:tc>
        <w:tc>
          <w:tcPr>
            <w:tcW w:w="941"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12*205g</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水牛高钙奶</w:t>
            </w:r>
          </w:p>
        </w:tc>
        <w:tc>
          <w:tcPr>
            <w:tcW w:w="941"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12*250g</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jc w:val="center"/>
              <w:textAlignment w:val="center"/>
              <w:rPr>
                <w:rFonts w:ascii="宋体" w:hAnsi="宋体" w:eastAsia="宋体" w:cs="宋体"/>
                <w:color w:val="000000"/>
                <w:kern w:val="0"/>
                <w:sz w:val="22"/>
                <w:lang w:bidi="ar"/>
              </w:rPr>
            </w:pPr>
          </w:p>
        </w:tc>
        <w:tc>
          <w:tcPr>
            <w:tcW w:w="823"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水牛奶</w:t>
            </w:r>
          </w:p>
        </w:tc>
        <w:tc>
          <w:tcPr>
            <w:tcW w:w="941"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10*200ml</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纯牛奶  </w:t>
            </w:r>
          </w:p>
        </w:tc>
        <w:tc>
          <w:tcPr>
            <w:tcW w:w="941"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10*200ml</w:t>
            </w:r>
          </w:p>
        </w:tc>
        <w:tc>
          <w:tcPr>
            <w:tcW w:w="2554" w:type="pct"/>
            <w:tcMar>
              <w:top w:w="15" w:type="dxa"/>
              <w:left w:w="15" w:type="dxa"/>
              <w:right w:w="15" w:type="dxa"/>
            </w:tcMar>
            <w:vAlign w:val="center"/>
          </w:tcPr>
          <w:p>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30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纯牛奶</w:t>
            </w:r>
          </w:p>
        </w:tc>
        <w:tc>
          <w:tcPr>
            <w:tcW w:w="941" w:type="pct"/>
            <w:tcMar>
              <w:top w:w="15" w:type="dxa"/>
              <w:left w:w="15" w:type="dxa"/>
              <w:right w:w="15" w:type="dxa"/>
            </w:tcMar>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10*200ml</w:t>
            </w:r>
          </w:p>
        </w:tc>
        <w:tc>
          <w:tcPr>
            <w:tcW w:w="2554" w:type="pct"/>
            <w:tcMar>
              <w:top w:w="15" w:type="dxa"/>
              <w:left w:w="15" w:type="dxa"/>
              <w:right w:w="15" w:type="dxa"/>
            </w:tcMar>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30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纯牛奶</w:t>
            </w:r>
          </w:p>
        </w:tc>
        <w:tc>
          <w:tcPr>
            <w:tcW w:w="941" w:type="pct"/>
            <w:tcMar>
              <w:top w:w="15" w:type="dxa"/>
              <w:left w:w="15" w:type="dxa"/>
              <w:right w:w="15" w:type="dxa"/>
            </w:tcMar>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24*250ml</w:t>
            </w:r>
          </w:p>
        </w:tc>
        <w:tc>
          <w:tcPr>
            <w:tcW w:w="2554" w:type="pct"/>
            <w:tcMar>
              <w:top w:w="15" w:type="dxa"/>
              <w:left w:w="15" w:type="dxa"/>
              <w:right w:w="15" w:type="dxa"/>
            </w:tcMar>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spacing w:line="300" w:lineRule="exact"/>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有机奶</w:t>
            </w:r>
          </w:p>
        </w:tc>
        <w:tc>
          <w:tcPr>
            <w:tcW w:w="941" w:type="pct"/>
            <w:tcMar>
              <w:top w:w="15" w:type="dxa"/>
              <w:left w:w="15" w:type="dxa"/>
              <w:right w:w="15" w:type="dxa"/>
            </w:tcMar>
            <w:vAlign w:val="center"/>
          </w:tcPr>
          <w:p>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10*200g</w:t>
            </w:r>
          </w:p>
        </w:tc>
        <w:tc>
          <w:tcPr>
            <w:tcW w:w="2554" w:type="pct"/>
            <w:tcMar>
              <w:top w:w="15" w:type="dxa"/>
              <w:left w:w="15" w:type="dxa"/>
              <w:right w:w="15" w:type="dxa"/>
            </w:tcMar>
            <w:vAlign w:val="center"/>
          </w:tcPr>
          <w:p>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81" w:type="pct"/>
            <w:tcMar>
              <w:top w:w="15" w:type="dxa"/>
              <w:left w:w="15" w:type="dxa"/>
              <w:right w:w="15" w:type="dxa"/>
            </w:tcMar>
            <w:vAlign w:val="center"/>
          </w:tcPr>
          <w:p>
            <w:pPr>
              <w:widowControl/>
              <w:numPr>
                <w:ilvl w:val="0"/>
                <w:numId w:val="5"/>
              </w:numPr>
              <w:jc w:val="center"/>
              <w:textAlignment w:val="center"/>
              <w:rPr>
                <w:rFonts w:ascii="宋体" w:hAnsi="宋体" w:eastAsia="宋体" w:cs="宋体"/>
                <w:color w:val="000000"/>
                <w:sz w:val="22"/>
              </w:rPr>
            </w:pPr>
          </w:p>
        </w:tc>
        <w:tc>
          <w:tcPr>
            <w:tcW w:w="823" w:type="pct"/>
            <w:tcMar>
              <w:top w:w="15" w:type="dxa"/>
              <w:left w:w="15" w:type="dxa"/>
              <w:right w:w="15" w:type="dxa"/>
            </w:tcMar>
            <w:vAlign w:val="center"/>
          </w:tcPr>
          <w:p>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    水牛纯奶</w:t>
            </w:r>
          </w:p>
        </w:tc>
        <w:tc>
          <w:tcPr>
            <w:tcW w:w="941" w:type="pct"/>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12*200g</w:t>
            </w:r>
          </w:p>
        </w:tc>
        <w:tc>
          <w:tcPr>
            <w:tcW w:w="2554" w:type="pct"/>
            <w:tcMar>
              <w:top w:w="15" w:type="dxa"/>
              <w:left w:w="15" w:type="dxa"/>
              <w:right w:w="15" w:type="dxa"/>
            </w:tcMar>
            <w:vAlign w:val="center"/>
          </w:tcPr>
          <w:p>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bl>
    <w:p>
      <w:pPr>
        <w:widowControl/>
        <w:jc w:val="left"/>
        <w:rPr>
          <w:rFonts w:ascii="Calibri" w:hAnsi="Calibri" w:eastAsia="宋体" w:cs="Times New Roman"/>
          <w:color w:val="000000" w:themeColor="text1"/>
          <w:szCs w:val="24"/>
          <w14:textFill>
            <w14:solidFill>
              <w14:schemeClr w14:val="tx1"/>
            </w14:solidFill>
          </w14:textFill>
        </w:rPr>
      </w:pPr>
      <w:r>
        <w:rPr>
          <w:rFonts w:ascii="Calibri" w:hAnsi="Calibri" w:eastAsia="宋体" w:cs="Times New Roman"/>
          <w:color w:val="000000" w:themeColor="text1"/>
          <w:szCs w:val="24"/>
          <w14:textFill>
            <w14:solidFill>
              <w14:schemeClr w14:val="tx1"/>
            </w14:solidFill>
          </w14:textFill>
        </w:rPr>
        <w:br w:type="page"/>
      </w:r>
    </w:p>
    <w:p>
      <w:pPr>
        <w:suppressAutoHyphens/>
        <w:rPr>
          <w:rFonts w:ascii="Calibri" w:hAnsi="Calibri" w:eastAsia="宋体" w:cs="Times New Roman"/>
          <w:color w:val="000000" w:themeColor="text1"/>
          <w:szCs w:val="24"/>
          <w14:textFill>
            <w14:solidFill>
              <w14:schemeClr w14:val="tx1"/>
            </w14:solidFill>
          </w14:textFill>
        </w:rPr>
      </w:pPr>
      <w:r>
        <w:rPr>
          <w:rFonts w:ascii="Calibri" w:hAnsi="Calibri" w:eastAsia="宋体" w:cs="Times New Roman"/>
          <w:color w:val="000000" w:themeColor="text1"/>
          <w:szCs w:val="24"/>
          <w14:textFill>
            <w14:solidFill>
              <w14:schemeClr w14:val="tx1"/>
            </w14:solidFill>
          </w14:textFill>
        </w:rPr>
        <w:t>附件</w:t>
      </w:r>
      <w:r>
        <w:rPr>
          <w:rFonts w:hint="eastAsia" w:ascii="Calibri" w:hAnsi="Calibri" w:eastAsia="宋体" w:cs="Times New Roman"/>
          <w:color w:val="000000" w:themeColor="text1"/>
          <w:szCs w:val="24"/>
          <w14:textFill>
            <w14:solidFill>
              <w14:schemeClr w14:val="tx1"/>
            </w14:solidFill>
          </w14:textFill>
        </w:rPr>
        <w:t>2</w:t>
      </w:r>
    </w:p>
    <w:p>
      <w:pPr>
        <w:suppressAutoHyphens/>
        <w:spacing w:before="780" w:beforeLines="250" w:after="780" w:afterLines="250"/>
        <w:rPr>
          <w:rFonts w:ascii="Calibri" w:hAnsi="Calibri" w:eastAsia="宋体" w:cs="Times New Roman"/>
          <w:color w:val="000000" w:themeColor="text1"/>
          <w:szCs w:val="24"/>
          <w14:textFill>
            <w14:solidFill>
              <w14:schemeClr w14:val="tx1"/>
            </w14:solidFill>
          </w14:textFill>
        </w:rPr>
      </w:pPr>
      <w:r>
        <w:rPr>
          <w:rFonts w:ascii="Calibri" w:hAnsi="Calibri" w:eastAsia="宋体" w:cs="Times New Roman"/>
          <w:color w:val="000000" w:themeColor="text1"/>
          <w:szCs w:val="24"/>
          <w14:textFill>
            <w14:solidFill>
              <w14:schemeClr w14:val="tx1"/>
            </w14:solidFill>
          </w14:textFill>
        </w:rPr>
        <w:object>
          <v:shape id="_x0000_i1025" o:spt="75" type="#_x0000_t75" style="height:56.3pt;width:77.45pt;" o:ole="t" filled="f" o:preferrelative="t" stroked="f" coordsize="21600,21600">
            <v:path/>
            <v:fill on="f" focussize="0,0"/>
            <v:stroke on="f" joinstyle="miter"/>
            <v:imagedata r:id="rId7" o:title=""/>
            <o:lock v:ext="edit" aspectratio="t"/>
            <w10:wrap type="none"/>
            <w10:anchorlock/>
          </v:shape>
          <o:OLEObject Type="Embed" ProgID="Excel.Sheet.12" ShapeID="_x0000_i1025" DrawAspect="Icon" ObjectID="_1468075725" r:id="rId6">
            <o:LockedField>false</o:LockedField>
          </o:OLEObject>
        </w:object>
      </w:r>
    </w:p>
    <w:p>
      <w:pPr>
        <w:suppressAutoHyphens/>
        <w:rPr>
          <w:rFonts w:ascii="Calibri" w:hAnsi="Calibri" w:eastAsia="宋体" w:cs="Times New Roman"/>
          <w:color w:val="000000" w:themeColor="text1"/>
          <w:szCs w:val="24"/>
          <w14:textFill>
            <w14:solidFill>
              <w14:schemeClr w14:val="tx1"/>
            </w14:solidFill>
          </w14:textFill>
        </w:rPr>
      </w:pPr>
    </w:p>
    <w:p>
      <w:pPr>
        <w:suppressAutoHyphens/>
        <w:rPr>
          <w:rFonts w:ascii="Calibri" w:hAnsi="Calibri" w:eastAsia="宋体" w:cs="Times New Roman"/>
          <w:color w:val="000000" w:themeColor="text1"/>
          <w:szCs w:val="24"/>
          <w14:textFill>
            <w14:solidFill>
              <w14:schemeClr w14:val="tx1"/>
            </w14:solidFill>
          </w14:textFill>
        </w:rPr>
      </w:pPr>
    </w:p>
    <w:p>
      <w:pPr>
        <w:rPr>
          <w:color w:val="000000" w:themeColor="text1"/>
          <w14:textFill>
            <w14:solidFill>
              <w14:schemeClr w14:val="tx1"/>
            </w14:solidFill>
          </w14:textFill>
        </w:rPr>
      </w:pPr>
    </w:p>
    <w:p/>
    <w:sectPr>
      <w:footerReference r:id="rId4" w:type="first"/>
      <w:footerReference r:id="rId3" w:type="default"/>
      <w:pgSz w:w="11906" w:h="16838"/>
      <w:pgMar w:top="1134" w:right="1134" w:bottom="1134" w:left="1134" w:header="851"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jc w:val="center"/>
                          </w:pPr>
                          <w:r>
                            <w:t>-</w:t>
                          </w:r>
                          <w:r>
                            <w:fldChar w:fldCharType="begin"/>
                          </w:r>
                          <w:r>
                            <w:instrText xml:space="preserve"> PAGE   \* MERGEFORMAT </w:instrText>
                          </w:r>
                          <w:r>
                            <w:fldChar w:fldCharType="separate"/>
                          </w:r>
                          <w:r>
                            <w:rPr>
                              <w:lang w:val="zh-CN"/>
                            </w:rPr>
                            <w:t>110</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pPr>
                      <w:pStyle w:val="5"/>
                      <w:jc w:val="center"/>
                    </w:pPr>
                    <w:r>
                      <w:t>-</w:t>
                    </w:r>
                    <w:r>
                      <w:fldChar w:fldCharType="begin"/>
                    </w:r>
                    <w:r>
                      <w:instrText xml:space="preserve"> PAGE   \* MERGEFORMAT </w:instrText>
                    </w:r>
                    <w:r>
                      <w:fldChar w:fldCharType="separate"/>
                    </w:r>
                    <w:r>
                      <w:rPr>
                        <w:lang w:val="zh-CN"/>
                      </w:rPr>
                      <w:t>110</w:t>
                    </w:r>
                    <w:r>
                      <w:fldChar w:fldCharType="end"/>
                    </w:r>
                    <w:r>
                      <w:rPr>
                        <w:rFonts w:hint="eastAsia"/>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46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d/eQyAgAAY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x395DICAABj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46</w:t>
                    </w:r>
                    <w:r>
                      <w:fldChar w:fldCharType="end"/>
                    </w:r>
                    <w:r>
                      <w:t xml:space="preserve"> -</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DD544"/>
    <w:multiLevelType w:val="singleLevel"/>
    <w:tmpl w:val="A35DD544"/>
    <w:lvl w:ilvl="0" w:tentative="0">
      <w:start w:val="164"/>
      <w:numFmt w:val="decimal"/>
      <w:lvlText w:val="%1"/>
      <w:lvlJc w:val="left"/>
      <w:pPr>
        <w:tabs>
          <w:tab w:val="left" w:pos="420"/>
        </w:tabs>
        <w:ind w:left="425" w:hanging="425"/>
      </w:pPr>
    </w:lvl>
  </w:abstractNum>
  <w:abstractNum w:abstractNumId="1">
    <w:nsid w:val="DCAE40A6"/>
    <w:multiLevelType w:val="singleLevel"/>
    <w:tmpl w:val="DCAE40A6"/>
    <w:lvl w:ilvl="0" w:tentative="0">
      <w:start w:val="1"/>
      <w:numFmt w:val="decimal"/>
      <w:lvlText w:val="%1"/>
      <w:lvlJc w:val="left"/>
      <w:pPr>
        <w:tabs>
          <w:tab w:val="left" w:pos="420"/>
        </w:tabs>
        <w:ind w:left="425" w:hanging="425"/>
      </w:pPr>
    </w:lvl>
  </w:abstractNum>
  <w:abstractNum w:abstractNumId="2">
    <w:nsid w:val="25FC3414"/>
    <w:multiLevelType w:val="singleLevel"/>
    <w:tmpl w:val="25FC3414"/>
    <w:lvl w:ilvl="0" w:tentative="0">
      <w:start w:val="1"/>
      <w:numFmt w:val="decimal"/>
      <w:lvlText w:val="%1"/>
      <w:lvlJc w:val="left"/>
      <w:pPr>
        <w:tabs>
          <w:tab w:val="left" w:pos="420"/>
        </w:tabs>
        <w:ind w:left="425" w:hanging="425"/>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2C63988"/>
    <w:multiLevelType w:val="multilevel"/>
    <w:tmpl w:val="52C63988"/>
    <w:lvl w:ilvl="0" w:tentative="0">
      <w:start w:val="1"/>
      <w:numFmt w:val="decimal"/>
      <w:lvlText w:val="%1"/>
      <w:lvlJc w:val="left"/>
      <w:pPr>
        <w:tabs>
          <w:tab w:val="left" w:pos="1537"/>
        </w:tabs>
        <w:ind w:left="1537" w:hanging="1432"/>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C744E"/>
    <w:rsid w:val="7B8C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3"/>
    <w:unhideWhenUsed/>
    <w:qFormat/>
    <w:uiPriority w:val="0"/>
    <w:pPr>
      <w:keepNext/>
      <w:keepLines/>
      <w:spacing w:before="280" w:after="290" w:line="374" w:lineRule="auto"/>
      <w:outlineLvl w:val="4"/>
    </w:pPr>
    <w:rPr>
      <w:rFonts w:ascii="Calibri" w:hAnsi="Calibri" w:eastAsia="宋体" w:cs="Times New Roman"/>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annotation text"/>
    <w:basedOn w:val="1"/>
    <w:unhideWhenUsed/>
    <w:qFormat/>
    <w:uiPriority w:val="0"/>
    <w:pPr>
      <w:jc w:val="left"/>
    </w:pPr>
    <w:rPr>
      <w:rFonts w:ascii="Calibri" w:hAnsi="Calibri" w:eastAsia="宋体" w:cs="Times New Roman"/>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customStyle="1" w:styleId="8">
    <w:name w:val="标题 5（有编号）（绿盟科技）"/>
    <w:basedOn w:val="1"/>
    <w:next w:val="9"/>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9">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2025-05-29T03:45:00Z</dcterms:created>
  <dc:creator>宁冰</dc:creator>
  <cp:lastModifiedBy>宁冰</cp:lastModifiedBy>
  <dcterms:modified xsi:type="dcterms:W3CDTF">2025-05-29T03:54:00Z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