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360" w:lineRule="auto"/>
        <w:jc w:val="center"/>
        <w:rPr>
          <w:rFonts w:hint="eastAsia" w:ascii="宋体" w:hAnsi="宋体" w:eastAsia="宋体" w:cs="宋体"/>
          <w:color w:val="auto"/>
          <w:sz w:val="28"/>
          <w:szCs w:val="28"/>
          <w:highlight w:val="none"/>
        </w:rPr>
      </w:pPr>
      <w:bookmarkStart w:id="0" w:name="_Toc71704630"/>
      <w:r>
        <w:rPr>
          <w:rFonts w:hint="eastAsia" w:ascii="宋体" w:hAnsi="宋体" w:eastAsia="宋体" w:cs="宋体"/>
          <w:color w:val="auto"/>
          <w:sz w:val="28"/>
          <w:szCs w:val="28"/>
          <w:highlight w:val="none"/>
        </w:rPr>
        <w:t>第六章　</w:t>
      </w:r>
      <w:r>
        <w:rPr>
          <w:rFonts w:hint="eastAsia" w:ascii="宋体" w:hAnsi="宋体" w:eastAsia="宋体" w:cs="宋体"/>
          <w:b/>
          <w:bCs/>
          <w:color w:val="auto"/>
          <w:sz w:val="28"/>
          <w:szCs w:val="28"/>
          <w:highlight w:val="none"/>
        </w:rPr>
        <w:t>项目</w:t>
      </w:r>
      <w:r>
        <w:rPr>
          <w:rFonts w:hint="eastAsia" w:ascii="宋体" w:hAnsi="宋体" w:eastAsia="宋体" w:cs="宋体"/>
          <w:color w:val="auto"/>
          <w:sz w:val="28"/>
          <w:szCs w:val="28"/>
          <w:highlight w:val="none"/>
        </w:rPr>
        <w:t>采购需求</w:t>
      </w:r>
      <w:bookmarkEnd w:id="0"/>
    </w:p>
    <w:p>
      <w:pPr>
        <w:spacing w:line="360" w:lineRule="auto"/>
        <w:jc w:val="left"/>
        <w:outlineLvl w:val="2"/>
        <w:rPr>
          <w:rFonts w:hint="eastAsia" w:ascii="宋体" w:hAnsi="宋体" w:cs="Times New Roman"/>
          <w:b/>
          <w:color w:val="auto"/>
          <w:highlight w:val="none"/>
        </w:rPr>
      </w:pPr>
      <w:r>
        <w:rPr>
          <w:rFonts w:hint="eastAsia" w:ascii="宋体" w:hAnsi="宋体" w:cs="Times New Roman"/>
          <w:b/>
          <w:color w:val="auto"/>
          <w:highlight w:val="none"/>
        </w:rPr>
        <w:t>一、说明：</w:t>
      </w:r>
    </w:p>
    <w:p>
      <w:pPr>
        <w:spacing w:line="360" w:lineRule="auto"/>
        <w:ind w:firstLine="420" w:firstLineChars="200"/>
        <w:jc w:val="left"/>
        <w:rPr>
          <w:rFonts w:hint="eastAsia" w:ascii="宋体" w:hAnsi="宋体" w:cs="Times New Roman"/>
          <w:color w:val="auto"/>
          <w:highlight w:val="none"/>
        </w:rPr>
      </w:pPr>
      <w:r>
        <w:rPr>
          <w:rFonts w:hint="eastAsia" w:ascii="宋体" w:hAnsi="宋体" w:cs="Times New Roman"/>
          <w:color w:val="auto"/>
          <w:highlight w:val="none"/>
        </w:rPr>
        <w:t>1.供应商提供的服务</w:t>
      </w:r>
      <w:r>
        <w:rPr>
          <w:rFonts w:hint="eastAsia" w:ascii="宋体" w:hAnsi="宋体" w:eastAsia="宋体" w:cs="Times New Roman"/>
          <w:color w:val="auto"/>
          <w:highlight w:val="none"/>
        </w:rPr>
        <w:t>必须</w:t>
      </w:r>
      <w:r>
        <w:rPr>
          <w:rFonts w:hint="eastAsia" w:ascii="宋体" w:hAnsi="宋体" w:cs="Times New Roman"/>
          <w:color w:val="auto"/>
          <w:highlight w:val="none"/>
        </w:rPr>
        <w:t>符合国家和行业标准。</w:t>
      </w:r>
    </w:p>
    <w:p>
      <w:pPr>
        <w:spacing w:line="360" w:lineRule="auto"/>
        <w:ind w:firstLine="420" w:firstLineChars="200"/>
        <w:jc w:val="left"/>
        <w:rPr>
          <w:rFonts w:hint="eastAsia" w:ascii="宋体" w:hAnsi="宋体" w:cs="Times New Roman"/>
          <w:color w:val="auto"/>
          <w:highlight w:val="none"/>
        </w:rPr>
      </w:pPr>
      <w:r>
        <w:rPr>
          <w:rFonts w:hint="eastAsia" w:ascii="宋体" w:hAnsi="宋体" w:cs="Times New Roman"/>
          <w:color w:val="auto"/>
          <w:highlight w:val="none"/>
        </w:rPr>
        <w:t>2.标“★”为实质性参数要求和条件，供应商必须满足并在响应文件中如实作出响应，否则响应文件无效；标“▲”为重点指标；无标识的为一般指标。</w:t>
      </w:r>
    </w:p>
    <w:p>
      <w:pPr>
        <w:spacing w:line="360" w:lineRule="auto"/>
        <w:ind w:firstLine="420" w:firstLineChars="200"/>
        <w:jc w:val="left"/>
        <w:rPr>
          <w:rFonts w:hint="eastAsia" w:ascii="宋体" w:hAnsi="宋体" w:cs="Times New Roman"/>
          <w:color w:val="auto"/>
          <w:highlight w:val="none"/>
        </w:rPr>
      </w:pPr>
      <w:r>
        <w:rPr>
          <w:rFonts w:hint="eastAsia" w:ascii="宋体" w:hAnsi="宋体" w:cs="Times New Roman"/>
          <w:color w:val="auto"/>
          <w:highlight w:val="none"/>
        </w:rPr>
        <w:t>3.供应商竞标时必须在响应文件中对所投分标所有技术需求、商务条款中内容及附件内容（如有）逐条响应并一一对应。</w:t>
      </w:r>
    </w:p>
    <w:p>
      <w:pPr>
        <w:spacing w:line="360" w:lineRule="auto"/>
        <w:jc w:val="left"/>
        <w:outlineLvl w:val="2"/>
        <w:rPr>
          <w:rFonts w:hint="eastAsia" w:ascii="宋体" w:hAnsi="宋体" w:cs="Times New Roman"/>
          <w:b/>
          <w:color w:val="auto"/>
          <w:highlight w:val="none"/>
        </w:rPr>
      </w:pPr>
      <w:r>
        <w:rPr>
          <w:rFonts w:hint="eastAsia" w:ascii="宋体" w:hAnsi="宋体" w:cs="Times New Roman"/>
          <w:b/>
          <w:color w:val="auto"/>
          <w:highlight w:val="none"/>
        </w:rPr>
        <w:t>二、采购内容：</w:t>
      </w:r>
    </w:p>
    <w:p>
      <w:pPr>
        <w:spacing w:line="360" w:lineRule="auto"/>
        <w:ind w:firstLine="420" w:firstLineChars="200"/>
        <w:jc w:val="left"/>
        <w:rPr>
          <w:rFonts w:hint="eastAsia" w:ascii="宋体" w:hAnsi="宋体" w:cs="宋体"/>
          <w:color w:val="auto"/>
          <w:highlight w:val="none"/>
        </w:rPr>
      </w:pPr>
      <w:r>
        <w:rPr>
          <w:rFonts w:hint="eastAsia" w:ascii="宋体" w:hAnsi="宋体" w:cs="Times New Roman"/>
          <w:color w:val="auto"/>
          <w:highlight w:val="none"/>
        </w:rPr>
        <w:t>采购标的对应的中小企业划分标准所属行业为</w:t>
      </w:r>
      <w:r>
        <w:rPr>
          <w:rFonts w:hint="eastAsia" w:ascii="宋体" w:hAnsi="宋体" w:cs="Times New Roman"/>
          <w:color w:val="auto"/>
          <w:highlight w:val="none"/>
          <w:u w:val="single"/>
        </w:rPr>
        <w:t>物业管理</w:t>
      </w:r>
      <w:r>
        <w:rPr>
          <w:rFonts w:hint="eastAsia" w:ascii="宋体" w:hAnsi="宋体" w:cs="Times New Roman"/>
          <w:color w:val="auto"/>
          <w:highlight w:val="none"/>
        </w:rPr>
        <w:t>。</w:t>
      </w:r>
    </w:p>
    <w:tbl>
      <w:tblPr>
        <w:tblStyle w:val="11"/>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28"/>
        <w:gridCol w:w="1487"/>
        <w:gridCol w:w="886"/>
        <w:gridCol w:w="1148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4283" w:type="dxa"/>
            <w:gridSpan w:val="4"/>
            <w:tcBorders>
              <w:top w:val="single" w:color="auto" w:sz="4" w:space="0"/>
              <w:left w:val="single" w:color="auto" w:sz="4" w:space="0"/>
              <w:bottom w:val="nil"/>
              <w:right w:val="single" w:color="auto" w:sz="4" w:space="0"/>
            </w:tcBorders>
            <w:shd w:val="clear" w:color="auto" w:fill="D7D7D7"/>
            <w:noWrap w:val="0"/>
            <w:vAlign w:val="center"/>
          </w:tcPr>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28" w:type="dxa"/>
            <w:tcBorders>
              <w:top w:val="single" w:color="auto" w:sz="4" w:space="0"/>
              <w:left w:val="single" w:color="auto" w:sz="4" w:space="0"/>
              <w:bottom w:val="nil"/>
              <w:right w:val="single" w:color="auto" w:sz="4" w:space="0"/>
            </w:tcBorders>
            <w:shd w:val="clear" w:color="auto" w:fill="D7D7D7"/>
            <w:noWrap w:val="0"/>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项号</w:t>
            </w:r>
          </w:p>
        </w:tc>
        <w:tc>
          <w:tcPr>
            <w:tcW w:w="1487" w:type="dxa"/>
            <w:tcBorders>
              <w:top w:val="single" w:color="auto" w:sz="4" w:space="0"/>
              <w:left w:val="single" w:color="auto" w:sz="4" w:space="0"/>
              <w:bottom w:val="nil"/>
              <w:right w:val="single" w:color="auto" w:sz="4" w:space="0"/>
            </w:tcBorders>
            <w:shd w:val="clear" w:color="auto" w:fill="D7D7D7"/>
            <w:noWrap w:val="0"/>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标的名称</w:t>
            </w:r>
          </w:p>
        </w:tc>
        <w:tc>
          <w:tcPr>
            <w:tcW w:w="886" w:type="dxa"/>
            <w:tcBorders>
              <w:top w:val="single" w:color="auto" w:sz="4" w:space="0"/>
              <w:left w:val="single" w:color="auto" w:sz="4" w:space="0"/>
              <w:bottom w:val="nil"/>
              <w:right w:val="single" w:color="auto" w:sz="4" w:space="0"/>
            </w:tcBorders>
            <w:shd w:val="clear" w:color="auto" w:fill="D7D7D7"/>
            <w:noWrap w:val="0"/>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数量及单位</w:t>
            </w:r>
          </w:p>
        </w:tc>
        <w:tc>
          <w:tcPr>
            <w:tcW w:w="11482" w:type="dxa"/>
            <w:tcBorders>
              <w:top w:val="single" w:color="auto" w:sz="4" w:space="0"/>
              <w:left w:val="single" w:color="auto" w:sz="4" w:space="0"/>
              <w:bottom w:val="single" w:color="auto" w:sz="4" w:space="0"/>
              <w:right w:val="single" w:color="auto" w:sz="4" w:space="0"/>
            </w:tcBorders>
            <w:shd w:val="clear" w:color="auto" w:fill="D7D7D7"/>
            <w:noWrap w:val="0"/>
            <w:vAlign w:val="center"/>
          </w:tcPr>
          <w:p>
            <w:pPr>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国家税务总局广西壮族自治区税务局第三稽查局2024年物业管理服务</w:t>
            </w:r>
          </w:p>
        </w:tc>
        <w:tc>
          <w:tcPr>
            <w:tcW w:w="88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w:t>
            </w:r>
          </w:p>
        </w:tc>
        <w:tc>
          <w:tcPr>
            <w:tcW w:w="11482" w:type="dxa"/>
            <w:tcBorders>
              <w:top w:val="single" w:color="auto" w:sz="4" w:space="0"/>
              <w:left w:val="single" w:color="auto" w:sz="4" w:space="0"/>
              <w:bottom w:val="single" w:color="auto" w:sz="4" w:space="0"/>
              <w:right w:val="single" w:color="auto" w:sz="4" w:space="0"/>
            </w:tcBorders>
            <w:noWrap w:val="0"/>
            <w:vAlign w:val="center"/>
          </w:tcPr>
          <w:p>
            <w:pPr>
              <w:spacing w:line="360" w:lineRule="auto"/>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一、项目基本情况</w:t>
            </w:r>
          </w:p>
          <w:p>
            <w:pPr>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w:t>
            </w:r>
            <w:r>
              <w:rPr>
                <w:rFonts w:hint="eastAsia" w:ascii="宋体" w:hAnsi="宋体" w:eastAsia="宋体" w:cs="宋体"/>
                <w:color w:val="auto"/>
                <w:sz w:val="21"/>
                <w:szCs w:val="21"/>
                <w:highlight w:val="none"/>
                <w:lang w:val="en-US" w:eastAsia="zh-CN"/>
              </w:rPr>
              <w:t>地点</w:t>
            </w:r>
            <w:r>
              <w:rPr>
                <w:rFonts w:hint="eastAsia" w:ascii="宋体" w:hAnsi="宋体" w:eastAsia="宋体" w:cs="宋体"/>
                <w:color w:val="auto"/>
                <w:sz w:val="21"/>
                <w:szCs w:val="21"/>
                <w:highlight w:val="none"/>
              </w:rPr>
              <w:t>：广西</w:t>
            </w:r>
            <w:r>
              <w:rPr>
                <w:rFonts w:hint="eastAsia" w:ascii="宋体" w:hAnsi="宋体" w:eastAsia="宋体" w:cs="宋体"/>
                <w:color w:val="auto"/>
                <w:sz w:val="21"/>
                <w:szCs w:val="21"/>
                <w:highlight w:val="none"/>
                <w:lang w:val="en-US" w:eastAsia="zh-CN"/>
              </w:rPr>
              <w:t>壮族自治区</w:t>
            </w:r>
            <w:r>
              <w:rPr>
                <w:rFonts w:hint="eastAsia" w:ascii="宋体" w:hAnsi="宋体" w:eastAsia="宋体" w:cs="宋体"/>
                <w:color w:val="auto"/>
                <w:sz w:val="21"/>
                <w:szCs w:val="21"/>
                <w:highlight w:val="none"/>
              </w:rPr>
              <w:t>桂林市象山区安新北路2号国家税务总局广西壮族自治区税务局第三稽查局办公区、副楼、庭院及周边停车场。</w:t>
            </w:r>
          </w:p>
          <w:p>
            <w:pPr>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服务范围：广西壮族自治区税务局第三稽查局办公楼项目用地面积为4399.00平方米，总建筑面积7651.26平方米，其中主楼地上7层，地下室3个、附楼两栋3层、一栋2层及地上停车棚区2处，露天小停车场2处，含停车位38个，在用办公室约50间，1个大会议室（多媒体和视频会议室，附二楼），1个小视频会议室（附二楼），3个小会议室（4楼1个，4楼1个，5楼1个），1个中心机房（4楼），三楼电教室、附二楼党建文化室、仓库、休闲区若干，配电房、发电机房各1个，消防系统1套、安防监控系统1套、停车场道闸系统4套。电梯1台。1个食堂。绿化带、鱼池、建筑小品若干</w:t>
            </w:r>
            <w:r>
              <w:rPr>
                <w:rFonts w:hint="eastAsia" w:ascii="宋体" w:hAnsi="宋体" w:eastAsia="宋体" w:cs="宋体"/>
                <w:color w:val="auto"/>
                <w:sz w:val="21"/>
                <w:szCs w:val="21"/>
                <w:highlight w:val="none"/>
              </w:rPr>
              <w:t>。</w:t>
            </w:r>
          </w:p>
          <w:p>
            <w:pPr>
              <w:spacing w:line="360" w:lineRule="auto"/>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二、物业管理服务需求内容</w:t>
            </w:r>
          </w:p>
          <w:p>
            <w:pPr>
              <w:spacing w:line="360" w:lineRule="auto"/>
              <w:ind w:firstLine="420"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（一）日常服务要求</w:t>
            </w:r>
          </w:p>
          <w:p>
            <w:pPr>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房屋的养护、管理和清洁卫生。包括：主体结构（基础、墙体、柱、梁、楼板、屋顶）、楼梯及楼梯间、电梯间、门厅、走廊通道、二楼楼面以下户外墙面的日常清洁、2米以下的玻璃墙面的保洁、办公室（含每天对办公室室内的地面及公共区域的清洁）、会议室、电教室、附二楼党建文化室、附楼工会活动室、卫生间、茶水间、休息区等所有设备房及照明、供水系统（小型、简易维修）、消防系统、监控室及安防系统（备注：中心机房的设备不在乙方服务范围，只包括清洁卫生服务；食堂厨房和餐厅内部的卫生和管理不在乙方服务范围）。</w:t>
            </w:r>
          </w:p>
          <w:p>
            <w:pPr>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2.设施、设备、房间及楼道的日常养护、运行和管理。包括：照明、背景音乐、泵房、上下水管道、落水管、卫生间、门窗、音控室、消防系统、供配电系统（含自发电设备）、电梯</w:t>
            </w:r>
            <w:r>
              <w:rPr>
                <w:rFonts w:hint="eastAsia" w:ascii="宋体" w:hAnsi="宋体" w:eastAsia="宋体" w:cs="宋体"/>
                <w:color w:val="auto"/>
                <w:sz w:val="21"/>
                <w:szCs w:val="21"/>
                <w:highlight w:val="none"/>
                <w:lang w:val="en-US" w:eastAsia="zh-CN"/>
              </w:rPr>
              <w:t>日常保洁等</w:t>
            </w:r>
            <w:r>
              <w:rPr>
                <w:rFonts w:hint="eastAsia" w:ascii="宋体" w:hAnsi="宋体" w:eastAsia="宋体" w:cs="宋体"/>
                <w:color w:val="auto"/>
                <w:sz w:val="21"/>
                <w:szCs w:val="21"/>
                <w:highlight w:val="none"/>
              </w:rPr>
              <w:t>、空调（过保修期后）、监控室、安防系统、计算机专用供配电系统、停车场等。（备注：网络机房的设备不在</w:t>
            </w:r>
            <w:r>
              <w:rPr>
                <w:rFonts w:hint="eastAsia" w:ascii="宋体" w:hAnsi="宋体" w:eastAsia="宋体" w:cs="宋体"/>
                <w:color w:val="auto"/>
                <w:sz w:val="21"/>
                <w:szCs w:val="21"/>
                <w:highlight w:val="none"/>
                <w:lang w:val="en-US" w:eastAsia="zh-CN"/>
              </w:rPr>
              <w:t>供应商的</w:t>
            </w:r>
            <w:r>
              <w:rPr>
                <w:rFonts w:hint="eastAsia" w:ascii="宋体" w:hAnsi="宋体" w:eastAsia="宋体" w:cs="宋体"/>
                <w:color w:val="auto"/>
                <w:sz w:val="21"/>
                <w:szCs w:val="21"/>
                <w:highlight w:val="none"/>
              </w:rPr>
              <w:t>服务范围）</w:t>
            </w:r>
          </w:p>
          <w:p>
            <w:pPr>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3.活动室：包括活动室的开放、场地卫生、热水器维护及室内外体育健身器材等。</w:t>
            </w:r>
          </w:p>
          <w:p>
            <w:pPr>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4.书报、信件、饮用水及其他物品的送达服务。</w:t>
            </w:r>
          </w:p>
          <w:p>
            <w:pPr>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5.安全监控系统影像资料安全存放及保密服务。</w:t>
            </w:r>
          </w:p>
          <w:p>
            <w:pPr>
              <w:spacing w:line="360" w:lineRule="auto"/>
              <w:ind w:firstLine="420" w:firstLineChars="200"/>
              <w:textAlignment w:val="baseline"/>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（二）维护公共安全，包括车辆管理、治安管理和消防管理</w:t>
            </w:r>
          </w:p>
          <w:p>
            <w:pPr>
              <w:pStyle w:val="10"/>
              <w:spacing w:line="360" w:lineRule="auto"/>
              <w:ind w:firstLine="420" w:firstLineChars="200"/>
              <w:jc w:val="left"/>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1.车辆管理，要求车道通畅度良好。</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（1）车道畅通无阻；</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（2）车辆行驶有序；</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（3）停放整齐；</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（4）无违章行驶；</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（5）无乱停乱放（在非停车区域停放车辆）。</w:t>
            </w:r>
          </w:p>
          <w:p>
            <w:pPr>
              <w:pStyle w:val="10"/>
              <w:spacing w:line="360" w:lineRule="auto"/>
              <w:ind w:firstLine="420" w:firstLineChars="200"/>
              <w:jc w:val="left"/>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2.治安管理，要求保安服务质量良好。</w:t>
            </w:r>
          </w:p>
          <w:p>
            <w:pPr>
              <w:pStyle w:val="1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kern w:val="0"/>
                <w:sz w:val="21"/>
                <w:szCs w:val="21"/>
                <w:highlight w:val="none"/>
              </w:rPr>
              <w:t>着装统一、整齐，佩戴必要的胸牌、警具，举止端正，精神振奋，警惕性强；</w:t>
            </w:r>
          </w:p>
          <w:p>
            <w:pPr>
              <w:pStyle w:val="1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（2）遵守劳动纪律，礼貌待人，热情服务，对来访人员、车辆做好登记工作；</w:t>
            </w:r>
          </w:p>
          <w:p>
            <w:pPr>
              <w:pStyle w:val="1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（3）积极巡查治安、防火、防盗、水浸等情况，并做好巡查记录；</w:t>
            </w:r>
          </w:p>
          <w:p>
            <w:pPr>
              <w:pStyle w:val="1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（4）密切注视各种可疑情况或各类违法犯罪活动，应及时前往调查并向相关领导报告，采取有效措施；对违法犯罪活动行为进行制止，并报公安机关处理；</w:t>
            </w:r>
          </w:p>
          <w:p>
            <w:pPr>
              <w:pStyle w:val="1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（5）存在安全隐患处设有明显标志和防范措施；</w:t>
            </w:r>
          </w:p>
          <w:p>
            <w:pPr>
              <w:pStyle w:val="1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（6）当发生治安、交通、刑事、火灾等突发事件时，保安人员必须在接到警情后5分钟内到达现场，同时查明原因后迅速向采购人后勤管理人员报告，视情况的轻重缓急组织人员及时处理。</w:t>
            </w:r>
          </w:p>
          <w:p>
            <w:pPr>
              <w:pStyle w:val="10"/>
              <w:spacing w:line="360" w:lineRule="auto"/>
              <w:ind w:firstLine="420" w:firstLineChars="200"/>
              <w:jc w:val="left"/>
              <w:outlineLvl w:val="2"/>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3.消防管理</w:t>
            </w:r>
          </w:p>
          <w:p>
            <w:pPr>
              <w:pStyle w:val="1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（1）配备专职或兼职消防人员，定期演练，开展消防知识及法规的宣传教育；</w:t>
            </w:r>
          </w:p>
          <w:p>
            <w:pPr>
              <w:pStyle w:val="1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（2）制定有突发性火灾等灾害方案；</w:t>
            </w:r>
          </w:p>
          <w:p>
            <w:pPr>
              <w:pStyle w:val="10"/>
              <w:spacing w:line="360" w:lineRule="auto"/>
              <w:ind w:firstLine="420" w:firstLineChars="200"/>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（3）每月检查消防系统设备配备齐全、完好无损，可随时启用；</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（4）无火灾及其他安全隐患。</w:t>
            </w:r>
          </w:p>
          <w:p>
            <w:pPr>
              <w:pStyle w:val="10"/>
              <w:spacing w:line="360" w:lineRule="auto"/>
              <w:ind w:firstLine="420" w:firstLineChars="200"/>
              <w:jc w:val="left"/>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（三）物业管理服务的公共环境部分</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1.办公区域及其他内属配套设施的养护和管理，包括：室内球馆、停车场、车库、室内外健身设施。</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2.公共绿地、水面、花木、建筑小品的日常养护和管理。</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3.公共场地的清洁卫生。</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4.车辆行驶和停放秩序的管理服务。</w:t>
            </w:r>
          </w:p>
          <w:p>
            <w:pPr>
              <w:pStyle w:val="10"/>
              <w:spacing w:line="360" w:lineRule="auto"/>
              <w:ind w:firstLine="420" w:firstLineChars="200"/>
              <w:jc w:val="left"/>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（四）其他服务需求</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在</w:t>
            </w:r>
            <w:r>
              <w:rPr>
                <w:rFonts w:hint="eastAsia" w:hAnsi="宋体" w:eastAsia="宋体" w:cs="宋体"/>
                <w:color w:val="auto"/>
                <w:sz w:val="21"/>
                <w:szCs w:val="21"/>
                <w:highlight w:val="none"/>
                <w:lang w:eastAsia="zh-CN"/>
              </w:rPr>
              <w:t>接到</w:t>
            </w:r>
            <w:r>
              <w:rPr>
                <w:rFonts w:hint="eastAsia" w:ascii="宋体" w:hAnsi="宋体" w:eastAsia="宋体" w:cs="宋体"/>
                <w:color w:val="auto"/>
                <w:sz w:val="21"/>
                <w:szCs w:val="21"/>
                <w:highlight w:val="none"/>
              </w:rPr>
              <w:t>采购人通知之日起1日内接手进驻并逐步进行移交工作。</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2.建立出入人员登记台账及各项巡检记录，发现问题及时报告。</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3.定期每周一小报，一月一小结向业主管理部门汇报相关情况。</w:t>
            </w:r>
          </w:p>
          <w:p>
            <w:pPr>
              <w:pStyle w:val="1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4.工作时间要求：</w:t>
            </w:r>
          </w:p>
          <w:p>
            <w:pPr>
              <w:pStyle w:val="1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（1）行政班岗位人员跟采购人上下班时间一致；</w:t>
            </w:r>
          </w:p>
          <w:p>
            <w:pPr>
              <w:pStyle w:val="1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（2）除行政班其他岗位人员24小时值班。</w:t>
            </w:r>
          </w:p>
          <w:p>
            <w:pPr>
              <w:pStyle w:val="10"/>
              <w:spacing w:line="360" w:lineRule="auto"/>
              <w:ind w:firstLine="420" w:firstLineChars="200"/>
              <w:jc w:val="left"/>
              <w:outlineLvl w:val="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5.人员配备及稳定性要求：</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采购人根据需要</w:t>
            </w:r>
            <w:r>
              <w:rPr>
                <w:rFonts w:hint="eastAsia" w:ascii="宋体" w:hAnsi="宋体" w:eastAsia="宋体" w:cs="宋体"/>
                <w:color w:val="auto"/>
                <w:sz w:val="21"/>
                <w:szCs w:val="21"/>
                <w:highlight w:val="none"/>
                <w:lang w:val="en-US" w:eastAsia="zh-CN"/>
              </w:rPr>
              <w:t>至少</w:t>
            </w:r>
            <w:r>
              <w:rPr>
                <w:rFonts w:hint="eastAsia" w:ascii="宋体" w:hAnsi="宋体" w:eastAsia="宋体" w:cs="宋体"/>
                <w:color w:val="auto"/>
                <w:sz w:val="21"/>
                <w:szCs w:val="21"/>
                <w:highlight w:val="none"/>
              </w:rPr>
              <w:t>配备物业人员13人，</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必须按不低于13人实际配备（</w:t>
            </w:r>
            <w:r>
              <w:rPr>
                <w:rFonts w:hint="eastAsia" w:ascii="宋体" w:hAnsi="宋体" w:eastAsia="宋体" w:cs="宋体"/>
                <w:color w:val="auto"/>
                <w:sz w:val="21"/>
                <w:szCs w:val="21"/>
                <w:highlight w:val="none"/>
                <w:lang w:val="en-US" w:eastAsia="zh-CN"/>
              </w:rPr>
              <w:t>采购人基本需求</w:t>
            </w:r>
            <w:r>
              <w:rPr>
                <w:rFonts w:hint="eastAsia" w:ascii="宋体" w:hAnsi="宋体" w:eastAsia="宋体" w:cs="宋体"/>
                <w:color w:val="auto"/>
                <w:sz w:val="21"/>
                <w:szCs w:val="21"/>
                <w:highlight w:val="none"/>
              </w:rPr>
              <w:t>详见本章节附件1“广西壮族自治区税务局第三稽查局机关物业人员需求表”）。</w:t>
            </w:r>
          </w:p>
          <w:p>
            <w:pPr>
              <w:pStyle w:val="1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eastAsia="zh-CN"/>
              </w:rPr>
              <w:t>成交供应商</w:t>
            </w:r>
            <w:r>
              <w:rPr>
                <w:rFonts w:hint="eastAsia" w:ascii="宋体" w:hAnsi="宋体" w:eastAsia="宋体" w:cs="宋体"/>
                <w:bCs/>
                <w:color w:val="auto"/>
                <w:sz w:val="21"/>
                <w:szCs w:val="21"/>
                <w:highlight w:val="none"/>
              </w:rPr>
              <w:t>必须保持岗位人员的稳定，不得随意更换，以保证工作的延续性。采购人认为岗位人员不能胜任岗位工作的人员，可以要求</w:t>
            </w:r>
            <w:r>
              <w:rPr>
                <w:rFonts w:hint="eastAsia" w:ascii="宋体" w:hAnsi="宋体" w:eastAsia="宋体" w:cs="宋体"/>
                <w:bCs/>
                <w:color w:val="auto"/>
                <w:sz w:val="21"/>
                <w:szCs w:val="21"/>
                <w:highlight w:val="none"/>
                <w:lang w:eastAsia="zh-CN"/>
              </w:rPr>
              <w:t>成交供应商</w:t>
            </w:r>
            <w:r>
              <w:rPr>
                <w:rFonts w:hint="eastAsia" w:ascii="宋体" w:hAnsi="宋体" w:eastAsia="宋体" w:cs="宋体"/>
                <w:bCs/>
                <w:color w:val="auto"/>
                <w:sz w:val="21"/>
                <w:szCs w:val="21"/>
                <w:highlight w:val="none"/>
              </w:rPr>
              <w:t>更换该岗位人员。</w:t>
            </w:r>
          </w:p>
          <w:p>
            <w:pPr>
              <w:pStyle w:val="1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w:t>
            </w: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rPr>
              <w:t>投入人员要求：不同岗位所需人员的专业等级、数量、资质及工作经验要求等。</w:t>
            </w:r>
          </w:p>
          <w:p>
            <w:pPr>
              <w:pStyle w:val="1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（1）项目经理1名要求：①大专及以上学历；②具有在物业任服务经理三年以上经验。</w:t>
            </w:r>
          </w:p>
          <w:p>
            <w:pPr>
              <w:pStyle w:val="1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（2）前台服务人员1名要求：①具有中专及以上学历；②具有物业管理服务一年以上工作经验；④身体健康，年龄50岁</w:t>
            </w:r>
            <w:r>
              <w:rPr>
                <w:rFonts w:hint="eastAsia" w:ascii="宋体" w:hAnsi="宋体" w:eastAsia="宋体" w:cs="宋体"/>
                <w:color w:val="auto"/>
                <w:sz w:val="21"/>
                <w:szCs w:val="21"/>
                <w:highlight w:val="none"/>
              </w:rPr>
              <w:t>（含）以下，女性</w:t>
            </w:r>
            <w:r>
              <w:rPr>
                <w:rFonts w:hint="eastAsia" w:ascii="宋体" w:hAnsi="宋体" w:eastAsia="宋体" w:cs="宋体"/>
                <w:bCs/>
                <w:color w:val="auto"/>
                <w:sz w:val="21"/>
                <w:szCs w:val="21"/>
                <w:highlight w:val="none"/>
              </w:rPr>
              <w:t>。</w:t>
            </w:r>
          </w:p>
          <w:p>
            <w:pPr>
              <w:pStyle w:val="1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（3）水电工1名要求：①中专及以上学历、具有电工证或具有高压电工作业证、低压电工作业证；②具有三年以上电工工作经验；③熟悉电路控制、空调水暖知识，精通机械常识，并会安全操作。</w:t>
            </w:r>
          </w:p>
          <w:p>
            <w:pPr>
              <w:pStyle w:val="1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（4）保安人员6名要求：①高中及以上学历、接受过系统的治安管理培训；②具有物业管理服务一年以上工作经验；③身高不低于160㎝，五官端正，身体健康，年龄55岁</w:t>
            </w:r>
            <w:r>
              <w:rPr>
                <w:rFonts w:hint="eastAsia" w:ascii="宋体" w:hAnsi="宋体" w:eastAsia="宋体" w:cs="宋体"/>
                <w:color w:val="auto"/>
                <w:sz w:val="21"/>
                <w:szCs w:val="21"/>
                <w:highlight w:val="none"/>
              </w:rPr>
              <w:t>（含）以下，男性</w:t>
            </w:r>
            <w:r>
              <w:rPr>
                <w:rFonts w:hint="eastAsia" w:ascii="宋体" w:hAnsi="宋体" w:eastAsia="宋体" w:cs="宋体"/>
                <w:bCs/>
                <w:color w:val="auto"/>
                <w:sz w:val="21"/>
                <w:szCs w:val="21"/>
                <w:highlight w:val="none"/>
              </w:rPr>
              <w:t>。</w:t>
            </w:r>
          </w:p>
          <w:p>
            <w:pPr>
              <w:pStyle w:val="1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（5）保洁员4名要求：①具有物业管理服务二年以上工作经验；</w:t>
            </w:r>
            <w:r>
              <w:rPr>
                <w:rFonts w:hint="eastAsia" w:hAnsi="宋体" w:eastAsia="宋体" w:cs="宋体"/>
                <w:bCs/>
                <w:color w:val="auto"/>
                <w:sz w:val="21"/>
                <w:szCs w:val="21"/>
                <w:highlight w:val="none"/>
                <w:lang w:val="en-US" w:eastAsia="zh-CN"/>
              </w:rPr>
              <w:t>②</w:t>
            </w:r>
            <w:r>
              <w:rPr>
                <w:rFonts w:hint="eastAsia" w:ascii="宋体" w:hAnsi="宋体" w:eastAsia="宋体" w:cs="宋体"/>
                <w:bCs/>
                <w:color w:val="auto"/>
                <w:sz w:val="21"/>
                <w:szCs w:val="21"/>
                <w:highlight w:val="none"/>
              </w:rPr>
              <w:t>身体健康，年龄55岁</w:t>
            </w:r>
            <w:r>
              <w:rPr>
                <w:rFonts w:hint="eastAsia" w:ascii="宋体" w:hAnsi="宋体" w:eastAsia="宋体" w:cs="宋体"/>
                <w:color w:val="auto"/>
                <w:sz w:val="21"/>
                <w:szCs w:val="21"/>
                <w:highlight w:val="none"/>
              </w:rPr>
              <w:t>（含）以下</w:t>
            </w:r>
            <w:r>
              <w:rPr>
                <w:rFonts w:hint="eastAsia" w:ascii="宋体" w:hAnsi="宋体" w:eastAsia="宋体" w:cs="宋体"/>
                <w:bCs/>
                <w:color w:val="auto"/>
                <w:sz w:val="21"/>
                <w:szCs w:val="21"/>
                <w:highlight w:val="none"/>
              </w:rPr>
              <w:t>。</w:t>
            </w:r>
          </w:p>
          <w:p>
            <w:pPr>
              <w:pStyle w:val="10"/>
              <w:spacing w:line="360" w:lineRule="auto"/>
              <w:ind w:firstLine="420" w:firstLineChars="20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★7.采购人服务岗位增加或减少，须提前一个月告知</w:t>
            </w:r>
            <w:r>
              <w:rPr>
                <w:rFonts w:hint="eastAsia" w:ascii="宋体" w:hAnsi="宋体" w:eastAsia="宋体" w:cs="宋体"/>
                <w:bCs/>
                <w:color w:val="auto"/>
                <w:sz w:val="21"/>
                <w:szCs w:val="21"/>
                <w:highlight w:val="none"/>
                <w:lang w:eastAsia="zh-CN"/>
              </w:rPr>
              <w:t>成交供应商</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eastAsia="zh-CN"/>
              </w:rPr>
              <w:t>成交供应商</w:t>
            </w:r>
            <w:r>
              <w:rPr>
                <w:rFonts w:hint="eastAsia" w:ascii="宋体" w:hAnsi="宋体" w:eastAsia="宋体" w:cs="宋体"/>
                <w:bCs/>
                <w:color w:val="auto"/>
                <w:sz w:val="21"/>
                <w:szCs w:val="21"/>
                <w:highlight w:val="none"/>
              </w:rPr>
              <w:t>在收到采购人的调整通知后，5个工作日内做好相关人员及费用的调整交予采购人。相关人员的费用结算，以具体工作时间为准，</w:t>
            </w:r>
            <w:r>
              <w:rPr>
                <w:rFonts w:hint="eastAsia" w:ascii="宋体" w:hAnsi="宋体" w:eastAsia="宋体" w:cs="宋体"/>
                <w:bCs/>
                <w:color w:val="auto"/>
                <w:sz w:val="21"/>
                <w:szCs w:val="21"/>
                <w:highlight w:val="none"/>
                <w:lang w:eastAsia="zh-CN"/>
              </w:rPr>
              <w:t>成交供应商</w:t>
            </w:r>
            <w:r>
              <w:rPr>
                <w:rFonts w:hint="eastAsia" w:ascii="宋体" w:hAnsi="宋体" w:eastAsia="宋体" w:cs="宋体"/>
                <w:bCs/>
                <w:color w:val="auto"/>
                <w:sz w:val="21"/>
                <w:szCs w:val="21"/>
                <w:highlight w:val="none"/>
              </w:rPr>
              <w:t>不得提出相关补偿要求。</w:t>
            </w:r>
          </w:p>
          <w:p>
            <w:pPr>
              <w:pStyle w:val="10"/>
              <w:spacing w:line="360" w:lineRule="auto"/>
              <w:ind w:firstLine="420" w:firstLineChars="200"/>
              <w:jc w:val="left"/>
              <w:outlineLvl w:val="2"/>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8</w:t>
            </w:r>
            <w:r>
              <w:rPr>
                <w:rFonts w:hint="eastAsia" w:ascii="宋体" w:hAnsi="宋体" w:eastAsia="宋体" w:cs="宋体"/>
                <w:color w:val="auto"/>
                <w:sz w:val="21"/>
                <w:szCs w:val="21"/>
                <w:highlight w:val="none"/>
              </w:rPr>
              <w:t>. 物业管理服务用房</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采购人向</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无偿提供1间房屋作为物业管理服务办公用房，不计租金。</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无权出租、买卖和抵押，否则，采购人有权收回物业管理服务办公用房，并要求</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支付租金、赔偿损失。</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color w:val="auto"/>
                <w:sz w:val="21"/>
                <w:szCs w:val="21"/>
                <w:highlight w:val="none"/>
              </w:rPr>
              <w:t>. 物业房屋共用部位、共用设施、设备、公共场地、附属配套建筑和设施的维修、养护范围及费用承担方</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（1）大修范围</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①楼盖层面渗漏。</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②修补粉刷建筑物外墙面及楼道内墙面。</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③拆砌挖补局部墙体，拆换或加固梁柱。</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④室内、室外、上、下水管道断裂。</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⑤供电设备、给排水设备、空调设备、电梯设备、防盗监控系统设备重要部件的严重损坏或整机损坏。</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⑥公共上、下水管道喉管、水闸损坏。</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⑦照明设备电路及电力装置的局部和全部修复。</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（2）中修范围</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①办公大楼及综合楼所有窗、门、五金器具的局部损坏及整体修复。</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②公共墙壁、地板、天花板局部损坏。</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（3）运行、日常养护范围及小修</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①各楼层熔断丝、插座、插头、空气开关、漏电开关、电源插头座、各种灯头、灯座的故障维修及单个价值5元以下的零配件更换。</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②各楼层各种龙头失灵故障，各种水闸渗油和损坏，室内外上下水道堵塞不畅，各种零配件失灵故障，水表故障。</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③局部油漆锈蚀的窗柜、栏杆、楼梯扶手。</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④供电设备、给排水设备、防盗监控系统设备的清洁、润滑及调试加固，各种单个价值20元以下的零星配件的更换。</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⑤电梯的日常保洁；配合电梯维保公司保持安全设施齐全，通风、散热、照明及附属设施完好，轿厢、机房保持整洁，电梯门厅及轿厢的上油保养；</w:t>
            </w:r>
            <w:r>
              <w:rPr>
                <w:rFonts w:hint="eastAsia" w:ascii="宋体" w:hAnsi="宋体" w:eastAsia="宋体" w:cs="宋体"/>
                <w:color w:val="auto"/>
                <w:sz w:val="21"/>
                <w:szCs w:val="21"/>
                <w:highlight w:val="none"/>
                <w:lang w:val="en-US" w:eastAsia="zh-CN"/>
              </w:rPr>
              <w:t>配合电梯维保公司电梯</w:t>
            </w:r>
            <w:r>
              <w:rPr>
                <w:rFonts w:hint="eastAsia" w:ascii="宋体" w:hAnsi="宋体" w:eastAsia="宋体" w:cs="宋体"/>
                <w:color w:val="auto"/>
                <w:sz w:val="21"/>
                <w:szCs w:val="21"/>
                <w:highlight w:val="none"/>
              </w:rPr>
              <w:t>监测、电梯年检等工作；遇有电梯故障，须在10分钟内到达现场</w:t>
            </w:r>
            <w:r>
              <w:rPr>
                <w:rFonts w:hint="eastAsia" w:ascii="宋体" w:hAnsi="宋体" w:eastAsia="宋体" w:cs="宋体"/>
                <w:color w:val="auto"/>
                <w:sz w:val="21"/>
                <w:szCs w:val="21"/>
                <w:highlight w:val="none"/>
                <w:lang w:val="en-US" w:eastAsia="zh-CN"/>
              </w:rPr>
              <w:t>设置警示物、</w:t>
            </w:r>
            <w:r>
              <w:rPr>
                <w:rFonts w:hint="eastAsia" w:ascii="宋体" w:hAnsi="宋体" w:eastAsia="宋体" w:cs="宋体"/>
                <w:color w:val="auto"/>
                <w:sz w:val="21"/>
                <w:szCs w:val="21"/>
                <w:highlight w:val="none"/>
              </w:rPr>
              <w:t>报修。</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（4）更新（换）范围</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①大楼各种窗、门、五金器具的整体更换。</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②各楼层热水器的整机报废。</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③大楼供电设备、给排水设备、防盗监控设备、消防设备、中央空调、电梯设备重要部件的局部损坏更换或整机报废更换或润滑及调试加固。</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④大楼供电设备、给排水设备、防盗监控设备、消防设备、中央空调、电梯设备单个价值20元以上零部件的更换。</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⑤各楼层熔断丝、插座插头、空气开关、漏电开关、电源插头座、各种灯头、灯座的故障维修及单个价值5元以上的零配件更换。</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（5）维修、养护费用承担方</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①房屋共用部位的日常养护及小修费用，由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承担；大中修费用，由采购人承担；更新费用由采购人承担。</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②房屋共用设施、设备的日常运行、养护及小修费用，由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承担；大中修费用，由采购人承担；更新（更换）费用由采购人承担。更换前，</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应将更换项目及材料价格书面报告采购人，采购人同意后方可实施更换。</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③市政公用设施和附属建筑物、构筑物的运行、养护及小修费用，由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承担；大中修费用，由采购人承担；更新（更换）费用由采购人承担。</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④公共绿地的养护及费用，由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承担；改造、更新（更换）费用由采购人承担。</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⑤附属配套建筑和设施的日常养护及小修费用，由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承担；大中修费用，由采购人承担；更新（更换）费用由采购人承担。</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⑥电梯如需专业维修保养的由采购人聘用专业维保机构，由专业维修机构维修保养，严禁非专业人员操作。</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上述涉及采购人承担费用的维修事项，</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应在维修前3个工作日内将维修方案报送采购人，经采购人批准后可委托</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实施或另行组织实施。</w:t>
            </w:r>
          </w:p>
          <w:p>
            <w:pPr>
              <w:pStyle w:val="10"/>
              <w:spacing w:line="360" w:lineRule="auto"/>
              <w:ind w:firstLine="420" w:firstLineChars="200"/>
              <w:jc w:val="left"/>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物业管理服务人员的住宿及餐饮费用由</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自行解决。</w:t>
            </w:r>
          </w:p>
          <w:p>
            <w:pPr>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在进行物业服务中所使用的水、电等能源费用由采购人承担。</w:t>
            </w:r>
          </w:p>
          <w:p>
            <w:pPr>
              <w:pStyle w:val="10"/>
              <w:spacing w:line="360" w:lineRule="auto"/>
              <w:ind w:firstLine="420" w:firstLineChars="200"/>
              <w:jc w:val="left"/>
              <w:outlineLvl w:val="0"/>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三、物业管理服务目标</w:t>
            </w:r>
          </w:p>
          <w:p>
            <w:pPr>
              <w:pStyle w:val="10"/>
              <w:spacing w:line="360" w:lineRule="auto"/>
              <w:ind w:firstLine="420" w:firstLineChars="200"/>
              <w:jc w:val="left"/>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（一）服务目标</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服务目标是：为采购人工作人员创造高效、便捷、安全、卫生的办公生活环境，为外来人员创造文明、舒适、温馨的办事环境。</w:t>
            </w:r>
          </w:p>
          <w:p>
            <w:pPr>
              <w:pStyle w:val="10"/>
              <w:spacing w:line="360" w:lineRule="auto"/>
              <w:ind w:firstLine="420" w:firstLineChars="200"/>
              <w:jc w:val="left"/>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（二）服务应达到的各项指标</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加强企业文化熏陶，职业素养培训，倡导微笑服务，培养物业人员敬业爱岗精神和提高工作能力。全体物业服务工作人员须统一着装，佩戴统一标志，仪表端庄、大方，衣着整洁，接待时主动、热情、规范；迎送接待业主和来访人员时，用语准确，称呼恰当，问候亲切，语气诚恳，耐心细致；使用文明用语，不使用服务忌语。达到以下指标：</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1、杜绝火灾责任事故和其他安全事故；</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2、环境卫生、清洁率达 99%；</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3、消防设备设施完好率 100%；</w:t>
            </w:r>
          </w:p>
          <w:p>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4、房屋、门窗完好率 99%；</w:t>
            </w:r>
          </w:p>
          <w:p>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5、车库设备完好率 98%；</w:t>
            </w:r>
          </w:p>
          <w:p>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6、智能化系统运行正常率 98%；</w:t>
            </w:r>
          </w:p>
          <w:p>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7、零星维修、报修及时率 100%，返修率≤1%；</w:t>
            </w:r>
          </w:p>
          <w:p>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8、服务有效投诉≤5%，处理率 100%；</w:t>
            </w:r>
          </w:p>
          <w:p>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9、会议服务及时率 100%；</w:t>
            </w:r>
          </w:p>
          <w:p>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10、每年对物业管理服务满意度抽样调查，满意率达98%以上，对不满意的情况进行分析并及时整改。</w:t>
            </w:r>
          </w:p>
          <w:p>
            <w:pPr>
              <w:pStyle w:val="10"/>
              <w:spacing w:line="360" w:lineRule="auto"/>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
                <w:color w:val="auto"/>
                <w:sz w:val="21"/>
                <w:szCs w:val="21"/>
                <w:highlight w:val="none"/>
              </w:rPr>
              <w:t>四、物业管理服务考核标准</w:t>
            </w:r>
          </w:p>
          <w:p>
            <w:pPr>
              <w:pStyle w:val="10"/>
              <w:spacing w:line="360" w:lineRule="auto"/>
              <w:ind w:firstLine="420" w:firstLineChars="200"/>
              <w:jc w:val="left"/>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（一）房屋外观：</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外观完好、整洁，外墙装饰无脱落、无乱搭乱建、公共设施无随意占用。</w:t>
            </w:r>
          </w:p>
          <w:p>
            <w:pPr>
              <w:pStyle w:val="10"/>
              <w:spacing w:line="360" w:lineRule="auto"/>
              <w:ind w:firstLine="420" w:firstLineChars="200"/>
              <w:jc w:val="left"/>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（二）设备运行：</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1.保证水、电、排风系统、电梯、消防、安防等设备系统日常运行正常（</w:t>
            </w:r>
            <w:r>
              <w:rPr>
                <w:rFonts w:hint="eastAsia"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督促设备设施维保方按照要求对上述设备设施进行维保）、以减少责任事故及安全隐患。</w:t>
            </w:r>
          </w:p>
          <w:p>
            <w:pPr>
              <w:pStyle w:val="10"/>
              <w:spacing w:line="360" w:lineRule="auto"/>
              <w:ind w:firstLine="420" w:firstLineChars="200"/>
              <w:jc w:val="left"/>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2.预防故障和日常养护及管理到位。</w:t>
            </w:r>
          </w:p>
          <w:p>
            <w:pPr>
              <w:pStyle w:val="10"/>
              <w:spacing w:line="360" w:lineRule="auto"/>
              <w:ind w:firstLine="420" w:firstLineChars="200"/>
              <w:jc w:val="left"/>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（三）房屋及设施、设备的日常维修、养护：</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1.建立共用部位共用设施设备养护管理制度。</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2.保证房屋共用部位、共用设施设备完好，无随意改变用途现象。</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3.不得擅自占用和改变公用设施的使用功能，如需完善或扩建，须与采购人协商，经采购人同意后方可实施。</w:t>
            </w:r>
          </w:p>
          <w:p>
            <w:pPr>
              <w:pStyle w:val="10"/>
              <w:spacing w:line="360" w:lineRule="auto"/>
              <w:ind w:firstLine="420" w:firstLineChars="200"/>
              <w:jc w:val="left"/>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（四）公共环境：</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1.公共场地保持清洁，无纸屑、烟头等废弃物。</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2.垃圾日产日清，定期进行卫生消毒灭菌。</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3.定期对所辖物业进行虫害的杀除工作。</w:t>
            </w:r>
          </w:p>
          <w:p>
            <w:pPr>
              <w:pStyle w:val="10"/>
              <w:spacing w:line="360" w:lineRule="auto"/>
              <w:ind w:firstLine="420" w:firstLineChars="200"/>
              <w:jc w:val="left"/>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（五）园林及绿化：</w:t>
            </w:r>
          </w:p>
          <w:p>
            <w:pPr>
              <w:pStyle w:val="10"/>
              <w:spacing w:line="360" w:lineRule="auto"/>
              <w:ind w:firstLine="420" w:firstLineChars="200"/>
              <w:jc w:val="left"/>
              <w:outlineLvl w:val="2"/>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1.绿地无改变使用用途和破坏、践踏、占用现象；</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2.园林设施完好整洁，绿化物常绿常新，水池水常清、无明显杂物、池鱼正常情况生长花草树林长势良好、无病虫害、无枯死。</w:t>
            </w:r>
          </w:p>
          <w:p>
            <w:pPr>
              <w:pStyle w:val="10"/>
              <w:spacing w:line="360" w:lineRule="auto"/>
              <w:ind w:firstLine="420" w:firstLineChars="200"/>
              <w:jc w:val="left"/>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（六）交通秩序：</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1.车辆进出有序；“门前三包”达到有关部门的要求；</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2.道路畅通、车辆停放有序。</w:t>
            </w:r>
          </w:p>
          <w:p>
            <w:pPr>
              <w:pStyle w:val="10"/>
              <w:spacing w:line="360" w:lineRule="auto"/>
              <w:ind w:firstLine="420" w:firstLineChars="200"/>
              <w:jc w:val="left"/>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（七）治安：</w:t>
            </w:r>
          </w:p>
          <w:p>
            <w:pPr>
              <w:pStyle w:val="1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24小时值班巡逻，无失窃、被盗、被劫及打架斗殴、责任火灾事件发生，所管理物业公共秩序良好。</w:t>
            </w:r>
          </w:p>
          <w:p>
            <w:pPr>
              <w:pStyle w:val="10"/>
              <w:spacing w:line="360" w:lineRule="auto"/>
              <w:ind w:firstLine="420" w:firstLineChars="200"/>
              <w:jc w:val="left"/>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（八）各项工作须有应急预案，有专人负责；急修要求五分钟到位，小修要求半小时内到位。</w:t>
            </w:r>
          </w:p>
          <w:p>
            <w:pPr>
              <w:pStyle w:val="10"/>
              <w:spacing w:line="360" w:lineRule="auto"/>
              <w:ind w:firstLine="420" w:firstLineChars="200"/>
              <w:jc w:val="left"/>
              <w:outlineLvl w:val="1"/>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（九）物业管理制度健全，管理落实到位。</w:t>
            </w:r>
          </w:p>
          <w:p>
            <w:pPr>
              <w:pStyle w:val="10"/>
              <w:spacing w:line="360" w:lineRule="auto"/>
              <w:ind w:firstLine="420" w:firstLineChars="200"/>
              <w:jc w:val="left"/>
              <w:outlineLvl w:val="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五、物业服务考评办法</w:t>
            </w:r>
          </w:p>
          <w:p>
            <w:pPr>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color w:val="auto"/>
                <w:kern w:val="0"/>
                <w:sz w:val="21"/>
                <w:szCs w:val="21"/>
                <w:highlight w:val="none"/>
              </w:rPr>
              <w:t>采购人每月末对本月物业服务进行定期考核（详见本章节附件2“物业管理服务质量考核指标体系”）。月检查评分满分为100分，若月评分低于98分（不含）且不低于95分（含）的，每低一分采购人有权扣除当月服务费总额的0.1%；若月评分低于95分（不含）且不低于85分（含）的，每低一分采购人有权扣除当月物业管理费总额的0.2%，85 分（不含）以下为不合格，累计三次总分为不合格的，或发生重大安全责任事故的，采购人有权单方面解除合同，并不退还履约保证金。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4283" w:type="dxa"/>
            <w:gridSpan w:val="4"/>
            <w:tcBorders>
              <w:top w:val="single" w:color="auto" w:sz="4" w:space="0"/>
              <w:left w:val="single" w:color="auto" w:sz="4" w:space="0"/>
              <w:bottom w:val="single" w:color="auto" w:sz="4" w:space="0"/>
              <w:right w:val="single" w:color="auto" w:sz="4" w:space="0"/>
            </w:tcBorders>
            <w:shd w:val="clear" w:color="auto" w:fill="D7D7D7"/>
            <w:noWrap w:val="0"/>
            <w:vAlign w:val="center"/>
          </w:tcPr>
          <w:p>
            <w:pPr>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二、商务条款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★服务期限</w:t>
            </w:r>
          </w:p>
        </w:tc>
        <w:tc>
          <w:tcPr>
            <w:tcW w:w="1236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bCs/>
                <w:color w:val="auto"/>
                <w:sz w:val="21"/>
                <w:szCs w:val="21"/>
                <w:highlight w:val="none"/>
                <w:lang w:val="en-US" w:eastAsia="zh-CN"/>
              </w:rPr>
              <w:t>1年。</w:t>
            </w:r>
            <w:r>
              <w:rPr>
                <w:rFonts w:hint="eastAsia" w:ascii="宋体" w:hAnsi="宋体" w:cs="宋体"/>
                <w:color w:val="auto"/>
                <w:highlight w:val="none"/>
                <w:lang w:eastAsia="zh-CN"/>
              </w:rPr>
              <w:t>本项目采取一次采购两年沿用、实行一年一考核一签合同的办法，第一年合同期满，在预算保障的前提下，采购人根据相关政策以及成交供应商服务质量（即供应商全年考核平均分不低于90分）与其续签次年合同，续签金额以第二年实际预算为准，但成交单价不予调整。其中，2024年安排预算人民币陆拾壹万陆仟元整（¥616,000.00）</w:t>
            </w:r>
            <w:r>
              <w:rPr>
                <w:rFonts w:hint="eastAsia" w:ascii="宋体" w:hAnsi="宋体" w:eastAsia="宋体" w:cs="宋体"/>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1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★服务地点</w:t>
            </w:r>
          </w:p>
        </w:tc>
        <w:tc>
          <w:tcPr>
            <w:tcW w:w="12368" w:type="dxa"/>
            <w:gridSpan w:val="2"/>
            <w:tcBorders>
              <w:top w:val="single" w:color="auto" w:sz="4" w:space="0"/>
              <w:left w:val="single" w:color="auto" w:sz="4" w:space="0"/>
              <w:bottom w:val="single" w:color="auto" w:sz="4" w:space="0"/>
              <w:right w:val="single" w:color="auto" w:sz="4" w:space="0"/>
            </w:tcBorders>
            <w:noWrap w:val="0"/>
            <w:vAlign w:val="center"/>
          </w:tcPr>
          <w:p>
            <w:pPr>
              <w:pStyle w:val="9"/>
              <w:spacing w:after="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广西</w:t>
            </w:r>
            <w:r>
              <w:rPr>
                <w:rFonts w:hint="eastAsia" w:ascii="宋体" w:hAnsi="宋体" w:eastAsia="宋体" w:cs="宋体"/>
                <w:color w:val="auto"/>
                <w:sz w:val="21"/>
                <w:szCs w:val="21"/>
                <w:highlight w:val="none"/>
                <w:lang w:val="en-US" w:eastAsia="zh-CN"/>
              </w:rPr>
              <w:t>壮族自治区</w:t>
            </w:r>
            <w:r>
              <w:rPr>
                <w:rFonts w:hint="eastAsia" w:ascii="宋体" w:hAnsi="宋体" w:eastAsia="宋体" w:cs="宋体"/>
                <w:color w:val="auto"/>
                <w:sz w:val="21"/>
                <w:szCs w:val="21"/>
                <w:highlight w:val="none"/>
              </w:rPr>
              <w:t>桂林市象山区安新北路2号国家税务总局广西壮族自治区税务局第三稽查局办公区、副楼、庭院及周边停车场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191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★验收标准、规范</w:t>
            </w:r>
          </w:p>
        </w:tc>
        <w:tc>
          <w:tcPr>
            <w:tcW w:w="12368" w:type="dxa"/>
            <w:gridSpan w:val="2"/>
            <w:tcBorders>
              <w:top w:val="single" w:color="auto" w:sz="4" w:space="0"/>
              <w:left w:val="single" w:color="auto" w:sz="4" w:space="0"/>
              <w:bottom w:val="single" w:color="auto" w:sz="4" w:space="0"/>
              <w:right w:val="single" w:color="auto" w:sz="4" w:space="0"/>
            </w:tcBorders>
            <w:noWrap w:val="0"/>
            <w:vAlign w:val="center"/>
          </w:tcPr>
          <w:p>
            <w:pPr>
              <w:pStyle w:val="9"/>
              <w:spacing w:after="0"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符合国家相关标准、行业标准、地方标准或其他强制性标准、规范、</w:t>
            </w:r>
            <w:r>
              <w:rPr>
                <w:rFonts w:hint="eastAsia"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承诺及</w:t>
            </w:r>
            <w:r>
              <w:rPr>
                <w:rFonts w:hint="eastAsia" w:hAnsi="宋体" w:eastAsia="宋体" w:cs="宋体"/>
                <w:color w:val="auto"/>
                <w:sz w:val="21"/>
                <w:szCs w:val="21"/>
                <w:highlight w:val="none"/>
                <w:lang w:eastAsia="zh-CN"/>
              </w:rPr>
              <w:t>采购文件</w:t>
            </w:r>
            <w:r>
              <w:rPr>
                <w:rFonts w:hint="eastAsia" w:ascii="宋体" w:hAnsi="宋体" w:eastAsia="宋体" w:cs="宋体"/>
                <w:color w:val="auto"/>
                <w:sz w:val="21"/>
                <w:szCs w:val="21"/>
                <w:highlight w:val="none"/>
              </w:rPr>
              <w:t>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1915"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★报价要求</w:t>
            </w:r>
          </w:p>
        </w:tc>
        <w:tc>
          <w:tcPr>
            <w:tcW w:w="123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本次报价须为人民币报价，只要填报了一个确定数额的总价，报价应被视为已经包含了但并不限于本项目各项购买服务及相关服务等的费用和所需缴纳的所有价格、税、费。在合同实施时，采购人将不予支付</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没有列入的项目费用，并认为此项目的费用已包括在总报价中。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1915" w:type="dxa"/>
            <w:gridSpan w:val="2"/>
            <w:tcBorders>
              <w:top w:val="single" w:color="auto" w:sz="4" w:space="0"/>
              <w:left w:val="single" w:color="auto" w:sz="4" w:space="0"/>
              <w:bottom w:val="single" w:color="auto" w:sz="4" w:space="0"/>
              <w:right w:val="single" w:color="auto" w:sz="4" w:space="0"/>
            </w:tcBorders>
            <w:noWrap w:val="0"/>
            <w:vAlign w:val="center"/>
          </w:tcPr>
          <w:p>
            <w:pPr>
              <w:pStyle w:val="9"/>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★付款方式</w:t>
            </w:r>
          </w:p>
        </w:tc>
        <w:tc>
          <w:tcPr>
            <w:tcW w:w="1236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费用按月结算。采购人每月末对本月物业服务进行定期考核。月检查评分满分为100分，若月评分低于98分（不含）且不低于95分（含）的，每低一分采购人有权扣除当月服务费总额的0.1%；若月评分低于95分（不含）且不低于85分（含）的，每低一分采购人有权扣除当月物业管理费总额的0.2%，85 分（不含）以下为不合格，累计三次总分为不合格的，或发生重大安全责任事故的，采购人有权单方面解除合同，并不退还履约保证金。</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在每月初5个工作日内将申请付款的同等金额、合法有效的发票开具给采购人，采购人在收到付款申请和发票后于 10个工作日内支付，否则采购人有权顺延付款。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1915" w:type="dxa"/>
            <w:gridSpan w:val="2"/>
            <w:tcBorders>
              <w:top w:val="single" w:color="auto" w:sz="4" w:space="0"/>
              <w:left w:val="single" w:color="auto" w:sz="4" w:space="0"/>
              <w:bottom w:val="single" w:color="auto" w:sz="4" w:space="0"/>
              <w:right w:val="single" w:color="auto" w:sz="4" w:space="0"/>
            </w:tcBorders>
            <w:noWrap w:val="0"/>
            <w:vAlign w:val="center"/>
          </w:tcPr>
          <w:p>
            <w:pPr>
              <w:pStyle w:val="9"/>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采购人其他要求</w:t>
            </w:r>
          </w:p>
        </w:tc>
        <w:tc>
          <w:tcPr>
            <w:tcW w:w="12368"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★1.为采购人提供物业服务的人员工资不得低于桂林市最低工资标准，同时应保障从业人员每年应享有的福利及国家法定节假日规定的加班费。</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的报价中必须按该条款要求充分考虑各类人员的工资、福利加班费、社保及其他应</w:t>
            </w:r>
            <w:r>
              <w:rPr>
                <w:rFonts w:hint="eastAsia" w:ascii="宋体" w:hAnsi="宋体" w:eastAsia="宋体" w:cs="宋体"/>
                <w:color w:val="auto"/>
                <w:sz w:val="21"/>
                <w:szCs w:val="21"/>
                <w:highlight w:val="none"/>
                <w:lang w:eastAsia="zh-CN"/>
              </w:rPr>
              <w:t>缴</w:t>
            </w:r>
            <w:r>
              <w:rPr>
                <w:rFonts w:hint="eastAsia" w:ascii="宋体" w:hAnsi="宋体" w:eastAsia="宋体" w:cs="宋体"/>
                <w:color w:val="auto"/>
                <w:sz w:val="21"/>
                <w:szCs w:val="21"/>
                <w:highlight w:val="none"/>
              </w:rPr>
              <w:t>保险。</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，有可能影响服务质量或者不能诚信履约的，应当要求其在</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w:t>
            </w:r>
            <w:r>
              <w:rPr>
                <w:rFonts w:hint="eastAsia" w:ascii="宋体" w:hAnsi="宋体" w:eastAsia="宋体" w:cs="宋体"/>
                <w:color w:val="auto"/>
                <w:sz w:val="21"/>
                <w:szCs w:val="21"/>
                <w:highlight w:val="none"/>
                <w:lang w:eastAsia="zh-CN"/>
              </w:rPr>
              <w:t>报价</w:t>
            </w:r>
            <w:r>
              <w:rPr>
                <w:rFonts w:hint="eastAsia" w:ascii="宋体" w:hAnsi="宋体" w:eastAsia="宋体" w:cs="宋体"/>
                <w:color w:val="auto"/>
                <w:sz w:val="21"/>
                <w:szCs w:val="21"/>
                <w:highlight w:val="none"/>
              </w:rPr>
              <w:t>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处理</w:t>
            </w:r>
            <w:r>
              <w:rPr>
                <w:rFonts w:hint="eastAsia" w:ascii="宋体" w:hAnsi="宋体" w:eastAsia="宋体" w:cs="宋体"/>
                <w:color w:val="auto"/>
                <w:sz w:val="21"/>
                <w:szCs w:val="21"/>
                <w:highlight w:val="none"/>
                <w:lang w:eastAsia="zh-CN"/>
              </w:rPr>
              <w:t>。</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★2.遇到突发事件响应要求：服务人员必须在40分钟内响应且至少调配4人处理突发事件。</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成交供应商</w:t>
            </w:r>
            <w:r>
              <w:rPr>
                <w:rFonts w:hint="eastAsia" w:ascii="宋体" w:hAnsi="宋体" w:eastAsia="宋体" w:cs="宋体"/>
                <w:color w:val="auto"/>
                <w:sz w:val="21"/>
                <w:szCs w:val="21"/>
                <w:highlight w:val="none"/>
              </w:rPr>
              <w:t>应定期组织工作人员进行培训。</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应针对本项目并结合自身实际情况提供卫生保洁管理方案、设备及设施维护管理方案、服务区域秩序维护管理方案、绿化维护管理方案、人员配备及培训方案、档案的建立和管理方案等。</w:t>
            </w:r>
          </w:p>
        </w:tc>
      </w:tr>
    </w:tbl>
    <w:p>
      <w:pPr>
        <w:spacing w:line="360" w:lineRule="auto"/>
        <w:rPr>
          <w:rFonts w:hint="eastAsia"/>
          <w:color w:val="auto"/>
          <w:highlight w:val="none"/>
        </w:rPr>
        <w:sectPr>
          <w:pgSz w:w="16838" w:h="11906" w:orient="landscape"/>
          <w:pgMar w:top="1440" w:right="1080" w:bottom="1440" w:left="1080" w:header="851" w:footer="851" w:gutter="0"/>
          <w:pgBorders>
            <w:top w:val="none" w:sz="0" w:space="0"/>
            <w:left w:val="none" w:sz="0" w:space="0"/>
            <w:bottom w:val="none" w:sz="0" w:space="0"/>
            <w:right w:val="none" w:sz="0" w:space="0"/>
          </w:pgBorders>
          <w:cols w:space="720" w:num="1"/>
          <w:docGrid w:type="linesAndChars" w:linePitch="312" w:charSpace="0"/>
        </w:sectPr>
      </w:pPr>
    </w:p>
    <w:p>
      <w:pPr>
        <w:snapToGrid w:val="0"/>
        <w:spacing w:line="360" w:lineRule="auto"/>
        <w:jc w:val="left"/>
        <w:outlineLvl w:val="3"/>
        <w:rPr>
          <w:rFonts w:hint="eastAsia" w:ascii="Times New Roman" w:hAnsi="Times New Roman" w:eastAsia="宋体"/>
          <w:b/>
          <w:bCs/>
          <w:color w:val="auto"/>
          <w:sz w:val="28"/>
          <w:szCs w:val="28"/>
          <w:highlight w:val="none"/>
        </w:rPr>
      </w:pPr>
      <w:r>
        <w:rPr>
          <w:rFonts w:hint="eastAsia" w:ascii="Times New Roman" w:hAnsi="Times New Roman" w:eastAsia="宋体"/>
          <w:b/>
          <w:bCs/>
          <w:color w:val="auto"/>
          <w:sz w:val="28"/>
          <w:szCs w:val="28"/>
          <w:highlight w:val="none"/>
        </w:rPr>
        <w:t>附件1</w:t>
      </w:r>
      <w:r>
        <w:rPr>
          <w:rFonts w:hint="eastAsia" w:ascii="Times New Roman" w:hAnsi="Times New Roman" w:eastAsia="宋体"/>
          <w:b/>
          <w:bCs/>
          <w:color w:val="auto"/>
          <w:sz w:val="28"/>
          <w:szCs w:val="28"/>
          <w:highlight w:val="none"/>
          <w:lang w:eastAsia="zh-CN"/>
        </w:rPr>
        <w:t>：</w:t>
      </w:r>
      <w:r>
        <w:rPr>
          <w:rFonts w:hint="eastAsia" w:ascii="Times New Roman" w:hAnsi="Times New Roman" w:eastAsia="宋体"/>
          <w:b/>
          <w:bCs/>
          <w:color w:val="auto"/>
          <w:sz w:val="28"/>
          <w:szCs w:val="28"/>
          <w:highlight w:val="none"/>
        </w:rPr>
        <w:t>广西壮族自治区税务局第三稽查局机关物业人员需求表</w:t>
      </w:r>
    </w:p>
    <w:tbl>
      <w:tblPr>
        <w:tblStyle w:val="11"/>
        <w:tblW w:w="9638" w:type="dxa"/>
        <w:jc w:val="center"/>
        <w:tblLayout w:type="fixed"/>
        <w:tblCellMar>
          <w:top w:w="15" w:type="dxa"/>
          <w:left w:w="15" w:type="dxa"/>
          <w:bottom w:w="15" w:type="dxa"/>
          <w:right w:w="15" w:type="dxa"/>
        </w:tblCellMar>
      </w:tblPr>
      <w:tblGrid>
        <w:gridCol w:w="2839"/>
        <w:gridCol w:w="1500"/>
        <w:gridCol w:w="1350"/>
        <w:gridCol w:w="3949"/>
      </w:tblGrid>
      <w:tr>
        <w:tblPrEx>
          <w:tblCellMar>
            <w:top w:w="15" w:type="dxa"/>
            <w:left w:w="15" w:type="dxa"/>
            <w:bottom w:w="15" w:type="dxa"/>
            <w:right w:w="15" w:type="dxa"/>
          </w:tblCellMar>
        </w:tblPrEx>
        <w:trPr>
          <w:jc w:val="center"/>
        </w:trPr>
        <w:tc>
          <w:tcPr>
            <w:tcW w:w="2839"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岗位</w:t>
            </w:r>
          </w:p>
        </w:tc>
        <w:tc>
          <w:tcPr>
            <w:tcW w:w="1500"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岗  点</w:t>
            </w:r>
          </w:p>
        </w:tc>
        <w:tc>
          <w:tcPr>
            <w:tcW w:w="1350"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应配置人数</w:t>
            </w:r>
          </w:p>
        </w:tc>
        <w:tc>
          <w:tcPr>
            <w:tcW w:w="3949" w:type="dxa"/>
            <w:tcBorders>
              <w:top w:val="single" w:color="000000" w:sz="4" w:space="0"/>
              <w:left w:val="single" w:color="000000" w:sz="4" w:space="0"/>
              <w:bottom w:val="single" w:color="000000" w:sz="4" w:space="0"/>
              <w:right w:val="single" w:color="000000" w:sz="4" w:space="0"/>
            </w:tcBorders>
            <w:shd w:val="clear" w:color="auto" w:fill="D7D7D7"/>
            <w:noWrap w:val="0"/>
            <w:vAlign w:val="center"/>
          </w:tcPr>
          <w:p>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  注</w:t>
            </w:r>
          </w:p>
        </w:tc>
      </w:tr>
      <w:tr>
        <w:tblPrEx>
          <w:tblCellMar>
            <w:top w:w="15" w:type="dxa"/>
            <w:left w:w="15" w:type="dxa"/>
            <w:bottom w:w="15" w:type="dxa"/>
            <w:right w:w="15" w:type="dxa"/>
          </w:tblCellMar>
        </w:tblPrEx>
        <w:trPr>
          <w:jc w:val="center"/>
        </w:trPr>
        <w:tc>
          <w:tcPr>
            <w:tcW w:w="2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物业项目经理</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（行政班）</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3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负责</w:t>
            </w:r>
            <w:r>
              <w:rPr>
                <w:rFonts w:ascii="宋体" w:hAnsi="宋体" w:cs="宋体"/>
                <w:color w:val="auto"/>
                <w:kern w:val="0"/>
                <w:szCs w:val="21"/>
                <w:highlight w:val="none"/>
              </w:rPr>
              <w:t>项目整体管理和协调工作</w:t>
            </w:r>
          </w:p>
        </w:tc>
      </w:tr>
      <w:tr>
        <w:tblPrEx>
          <w:tblCellMar>
            <w:top w:w="15" w:type="dxa"/>
            <w:left w:w="15" w:type="dxa"/>
            <w:bottom w:w="15" w:type="dxa"/>
            <w:right w:w="15" w:type="dxa"/>
          </w:tblCellMar>
        </w:tblPrEx>
        <w:trPr>
          <w:jc w:val="center"/>
        </w:trPr>
        <w:tc>
          <w:tcPr>
            <w:tcW w:w="2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前台服务人员</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（行政班）</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3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负责来访登记、收发、大厅保洁等工作</w:t>
            </w:r>
          </w:p>
        </w:tc>
      </w:tr>
      <w:tr>
        <w:tblPrEx>
          <w:tblCellMar>
            <w:top w:w="15" w:type="dxa"/>
            <w:left w:w="15" w:type="dxa"/>
            <w:bottom w:w="15" w:type="dxa"/>
            <w:right w:w="15" w:type="dxa"/>
          </w:tblCellMar>
        </w:tblPrEx>
        <w:trPr>
          <w:jc w:val="center"/>
        </w:trPr>
        <w:tc>
          <w:tcPr>
            <w:tcW w:w="2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水电工</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3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负责水电维护</w:t>
            </w:r>
          </w:p>
        </w:tc>
      </w:tr>
      <w:tr>
        <w:tblPrEx>
          <w:tblCellMar>
            <w:top w:w="15" w:type="dxa"/>
            <w:left w:w="15" w:type="dxa"/>
            <w:bottom w:w="15" w:type="dxa"/>
            <w:right w:w="15" w:type="dxa"/>
          </w:tblCellMar>
        </w:tblPrEx>
        <w:trPr>
          <w:jc w:val="center"/>
        </w:trPr>
        <w:tc>
          <w:tcPr>
            <w:tcW w:w="2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白天正、西门保安</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3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负责</w:t>
            </w:r>
            <w:r>
              <w:rPr>
                <w:rFonts w:ascii="宋体" w:hAnsi="宋体" w:cs="宋体"/>
                <w:color w:val="auto"/>
                <w:kern w:val="0"/>
                <w:szCs w:val="21"/>
                <w:highlight w:val="none"/>
              </w:rPr>
              <w:t>进出入人员询问、登记、引导</w:t>
            </w:r>
          </w:p>
        </w:tc>
      </w:tr>
      <w:tr>
        <w:tblPrEx>
          <w:tblCellMar>
            <w:top w:w="15" w:type="dxa"/>
            <w:left w:w="15" w:type="dxa"/>
            <w:bottom w:w="15" w:type="dxa"/>
            <w:right w:w="15" w:type="dxa"/>
          </w:tblCellMar>
        </w:tblPrEx>
        <w:trPr>
          <w:jc w:val="center"/>
        </w:trPr>
        <w:tc>
          <w:tcPr>
            <w:tcW w:w="2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市局夜间巡逻保安</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3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负责夜间</w:t>
            </w:r>
            <w:r>
              <w:rPr>
                <w:rFonts w:ascii="宋体" w:hAnsi="宋体" w:cs="宋体"/>
                <w:color w:val="auto"/>
                <w:kern w:val="0"/>
                <w:szCs w:val="21"/>
                <w:highlight w:val="none"/>
              </w:rPr>
              <w:t>办公楼区域安全</w:t>
            </w:r>
          </w:p>
        </w:tc>
      </w:tr>
      <w:tr>
        <w:tblPrEx>
          <w:tblCellMar>
            <w:top w:w="15" w:type="dxa"/>
            <w:left w:w="15" w:type="dxa"/>
            <w:bottom w:w="15" w:type="dxa"/>
            <w:right w:w="15" w:type="dxa"/>
          </w:tblCellMar>
        </w:tblPrEx>
        <w:trPr>
          <w:jc w:val="center"/>
        </w:trPr>
        <w:tc>
          <w:tcPr>
            <w:tcW w:w="2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夜间正门保安</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3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负责夜间</w:t>
            </w:r>
            <w:r>
              <w:rPr>
                <w:rFonts w:ascii="宋体" w:hAnsi="宋体" w:cs="宋体"/>
                <w:color w:val="auto"/>
                <w:kern w:val="0"/>
                <w:szCs w:val="21"/>
                <w:highlight w:val="none"/>
              </w:rPr>
              <w:t>办公楼区域安全</w:t>
            </w:r>
          </w:p>
        </w:tc>
      </w:tr>
      <w:tr>
        <w:tblPrEx>
          <w:tblCellMar>
            <w:top w:w="15" w:type="dxa"/>
            <w:left w:w="15" w:type="dxa"/>
            <w:bottom w:w="15" w:type="dxa"/>
            <w:right w:w="15" w:type="dxa"/>
          </w:tblCellMar>
        </w:tblPrEx>
        <w:trPr>
          <w:jc w:val="center"/>
        </w:trPr>
        <w:tc>
          <w:tcPr>
            <w:tcW w:w="2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保洁员（办公大楼内）</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（行政班）</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3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办公楼各楼层及</w:t>
            </w:r>
            <w:r>
              <w:rPr>
                <w:rFonts w:ascii="宋体" w:hAnsi="宋体" w:cs="宋体"/>
                <w:color w:val="auto"/>
                <w:kern w:val="0"/>
                <w:szCs w:val="21"/>
                <w:highlight w:val="none"/>
              </w:rPr>
              <w:t>办公室</w:t>
            </w:r>
            <w:r>
              <w:rPr>
                <w:rFonts w:hint="eastAsia" w:ascii="宋体" w:hAnsi="宋体" w:cs="宋体"/>
                <w:color w:val="auto"/>
                <w:kern w:val="0"/>
                <w:szCs w:val="21"/>
                <w:highlight w:val="none"/>
              </w:rPr>
              <w:t>、会议室等保洁</w:t>
            </w:r>
          </w:p>
        </w:tc>
      </w:tr>
      <w:tr>
        <w:tblPrEx>
          <w:tblCellMar>
            <w:top w:w="15" w:type="dxa"/>
            <w:left w:w="15" w:type="dxa"/>
            <w:bottom w:w="15" w:type="dxa"/>
            <w:right w:w="15" w:type="dxa"/>
          </w:tblCellMar>
        </w:tblPrEx>
        <w:trPr>
          <w:jc w:val="center"/>
        </w:trPr>
        <w:tc>
          <w:tcPr>
            <w:tcW w:w="2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保洁员（办公楼大院及周边）</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（行政班）</w:t>
            </w: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3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负责院子花草树木浇水等及周边区域保洁</w:t>
            </w:r>
          </w:p>
        </w:tc>
      </w:tr>
      <w:tr>
        <w:tblPrEx>
          <w:tblCellMar>
            <w:top w:w="15" w:type="dxa"/>
            <w:left w:w="15" w:type="dxa"/>
            <w:bottom w:w="15" w:type="dxa"/>
            <w:right w:w="15" w:type="dxa"/>
          </w:tblCellMar>
        </w:tblPrEx>
        <w:trPr>
          <w:jc w:val="center"/>
        </w:trPr>
        <w:tc>
          <w:tcPr>
            <w:tcW w:w="283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合计</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b/>
                <w:bCs/>
                <w:color w:val="auto"/>
                <w:kern w:val="0"/>
                <w:szCs w:val="21"/>
                <w:highlight w:val="none"/>
              </w:rPr>
            </w:pPr>
          </w:p>
        </w:tc>
        <w:tc>
          <w:tcPr>
            <w:tcW w:w="13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p>
        </w:tc>
        <w:tc>
          <w:tcPr>
            <w:tcW w:w="394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rFonts w:ascii="宋体" w:hAnsi="宋体" w:cs="宋体"/>
                <w:b/>
                <w:bCs/>
                <w:color w:val="auto"/>
                <w:kern w:val="0"/>
                <w:szCs w:val="21"/>
                <w:highlight w:val="none"/>
              </w:rPr>
            </w:pPr>
          </w:p>
        </w:tc>
      </w:tr>
    </w:tbl>
    <w:p>
      <w:pPr>
        <w:jc w:val="center"/>
        <w:rPr>
          <w:color w:val="auto"/>
          <w:highlight w:val="none"/>
        </w:rPr>
        <w:sectPr>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2" w:charSpace="0"/>
        </w:sectPr>
      </w:pPr>
    </w:p>
    <w:p>
      <w:pPr>
        <w:snapToGrid w:val="0"/>
        <w:spacing w:line="360" w:lineRule="auto"/>
        <w:jc w:val="left"/>
        <w:outlineLvl w:val="3"/>
        <w:rPr>
          <w:rFonts w:hint="eastAsia" w:ascii="Times New Roman" w:hAnsi="Times New Roman" w:eastAsia="宋体"/>
          <w:b/>
          <w:bCs/>
          <w:color w:val="auto"/>
          <w:sz w:val="28"/>
          <w:szCs w:val="28"/>
          <w:highlight w:val="none"/>
        </w:rPr>
      </w:pPr>
      <w:r>
        <w:rPr>
          <w:rFonts w:hint="eastAsia" w:ascii="Times New Roman" w:hAnsi="Times New Roman" w:eastAsia="宋体"/>
          <w:b/>
          <w:bCs/>
          <w:color w:val="auto"/>
          <w:sz w:val="28"/>
          <w:szCs w:val="28"/>
          <w:highlight w:val="none"/>
        </w:rPr>
        <w:t>附件2：物业管理服务质量考核指标体系</w:t>
      </w:r>
    </w:p>
    <w:tbl>
      <w:tblPr>
        <w:tblStyle w:val="11"/>
        <w:tblW w:w="9638" w:type="dxa"/>
        <w:jc w:val="center"/>
        <w:tblLayout w:type="autofit"/>
        <w:tblCellMar>
          <w:top w:w="0" w:type="dxa"/>
          <w:left w:w="108" w:type="dxa"/>
          <w:bottom w:w="0" w:type="dxa"/>
          <w:right w:w="108" w:type="dxa"/>
        </w:tblCellMar>
      </w:tblPr>
      <w:tblGrid>
        <w:gridCol w:w="808"/>
        <w:gridCol w:w="820"/>
        <w:gridCol w:w="820"/>
        <w:gridCol w:w="818"/>
        <w:gridCol w:w="3645"/>
        <w:gridCol w:w="1778"/>
        <w:gridCol w:w="949"/>
      </w:tblGrid>
      <w:tr>
        <w:tblPrEx>
          <w:tblCellMar>
            <w:top w:w="0" w:type="dxa"/>
            <w:left w:w="108" w:type="dxa"/>
            <w:bottom w:w="0" w:type="dxa"/>
            <w:right w:w="108" w:type="dxa"/>
          </w:tblCellMar>
        </w:tblPrEx>
        <w:trPr>
          <w:tblHeader/>
          <w:jc w:val="center"/>
        </w:trPr>
        <w:tc>
          <w:tcPr>
            <w:tcW w:w="419" w:type="pct"/>
            <w:tcBorders>
              <w:top w:val="single" w:color="auto" w:sz="4" w:space="0"/>
              <w:left w:val="single" w:color="auto" w:sz="4" w:space="0"/>
              <w:bottom w:val="single" w:color="auto" w:sz="4" w:space="0"/>
              <w:right w:val="single" w:color="auto" w:sz="4" w:space="0"/>
            </w:tcBorders>
            <w:shd w:val="clear" w:color="auto" w:fill="D7D7D7"/>
            <w:noWrap w:val="0"/>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考核项目</w:t>
            </w:r>
          </w:p>
        </w:tc>
        <w:tc>
          <w:tcPr>
            <w:tcW w:w="425" w:type="pct"/>
            <w:tcBorders>
              <w:top w:val="single" w:color="auto" w:sz="4" w:space="0"/>
              <w:left w:val="single" w:color="auto" w:sz="4" w:space="0"/>
              <w:bottom w:val="single" w:color="auto" w:sz="4" w:space="0"/>
              <w:right w:val="single" w:color="auto" w:sz="4" w:space="0"/>
            </w:tcBorders>
            <w:shd w:val="clear" w:color="auto" w:fill="D7D7D7"/>
            <w:noWrap w:val="0"/>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考核指标</w:t>
            </w:r>
          </w:p>
        </w:tc>
        <w:tc>
          <w:tcPr>
            <w:tcW w:w="425" w:type="pct"/>
            <w:tcBorders>
              <w:top w:val="single" w:color="auto" w:sz="4" w:space="0"/>
              <w:left w:val="single" w:color="auto" w:sz="4" w:space="0"/>
              <w:bottom w:val="single" w:color="auto" w:sz="4" w:space="0"/>
              <w:right w:val="single" w:color="auto" w:sz="4" w:space="0"/>
            </w:tcBorders>
            <w:shd w:val="clear" w:color="auto" w:fill="D7D7D7"/>
            <w:noWrap w:val="0"/>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标准值</w:t>
            </w:r>
          </w:p>
        </w:tc>
        <w:tc>
          <w:tcPr>
            <w:tcW w:w="424" w:type="pct"/>
            <w:tcBorders>
              <w:top w:val="single" w:color="auto" w:sz="4" w:space="0"/>
              <w:left w:val="single" w:color="auto" w:sz="4" w:space="0"/>
              <w:bottom w:val="single" w:color="auto" w:sz="4" w:space="0"/>
              <w:right w:val="single" w:color="auto" w:sz="4" w:space="0"/>
            </w:tcBorders>
            <w:shd w:val="clear" w:color="auto" w:fill="D7D7D7"/>
            <w:noWrap w:val="0"/>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考核周期</w:t>
            </w:r>
          </w:p>
        </w:tc>
        <w:tc>
          <w:tcPr>
            <w:tcW w:w="1890" w:type="pct"/>
            <w:tcBorders>
              <w:top w:val="single" w:color="auto" w:sz="4" w:space="0"/>
              <w:left w:val="single" w:color="auto" w:sz="4" w:space="0"/>
              <w:bottom w:val="single" w:color="auto" w:sz="4" w:space="0"/>
              <w:right w:val="single" w:color="auto" w:sz="4" w:space="0"/>
            </w:tcBorders>
            <w:shd w:val="clear" w:color="auto" w:fill="D7D7D7"/>
            <w:noWrap w:val="0"/>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指标解释及标准</w:t>
            </w:r>
          </w:p>
        </w:tc>
        <w:tc>
          <w:tcPr>
            <w:tcW w:w="922" w:type="pct"/>
            <w:tcBorders>
              <w:top w:val="single" w:color="auto" w:sz="4" w:space="0"/>
              <w:left w:val="single" w:color="auto" w:sz="4" w:space="0"/>
              <w:bottom w:val="single" w:color="auto" w:sz="4" w:space="0"/>
              <w:right w:val="single" w:color="auto" w:sz="4" w:space="0"/>
            </w:tcBorders>
            <w:shd w:val="clear" w:color="auto" w:fill="D7D7D7"/>
            <w:noWrap w:val="0"/>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考核办法</w:t>
            </w:r>
          </w:p>
        </w:tc>
        <w:tc>
          <w:tcPr>
            <w:tcW w:w="492" w:type="pct"/>
            <w:tcBorders>
              <w:top w:val="single" w:color="auto" w:sz="4" w:space="0"/>
              <w:left w:val="single" w:color="auto" w:sz="4" w:space="0"/>
              <w:bottom w:val="single" w:color="auto" w:sz="4" w:space="0"/>
              <w:right w:val="single" w:color="auto" w:sz="4" w:space="0"/>
            </w:tcBorders>
            <w:shd w:val="clear" w:color="auto" w:fill="D7D7D7"/>
            <w:noWrap w:val="0"/>
            <w:vAlign w:val="center"/>
          </w:tcPr>
          <w:p>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权重%</w:t>
            </w:r>
          </w:p>
        </w:tc>
      </w:tr>
      <w:tr>
        <w:tblPrEx>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一、</w:t>
            </w:r>
            <w:r>
              <w:rPr>
                <w:rFonts w:hint="eastAsia" w:ascii="宋体" w:hAnsi="宋体" w:cs="宋体"/>
                <w:color w:val="auto"/>
                <w:szCs w:val="21"/>
                <w:highlight w:val="none"/>
              </w:rPr>
              <w:t>房屋</w:t>
            </w:r>
            <w:r>
              <w:rPr>
                <w:rFonts w:hint="eastAsia" w:ascii="宋体" w:hAnsi="宋体"/>
                <w:color w:val="auto"/>
                <w:szCs w:val="21"/>
                <w:highlight w:val="none"/>
              </w:rPr>
              <w:t>外观</w:t>
            </w:r>
          </w:p>
        </w:tc>
        <w:tc>
          <w:tcPr>
            <w:tcW w:w="425" w:type="pct"/>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房屋外观完好度</w:t>
            </w:r>
          </w:p>
        </w:tc>
        <w:tc>
          <w:tcPr>
            <w:tcW w:w="425" w:type="pct"/>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优良</w:t>
            </w:r>
          </w:p>
        </w:tc>
        <w:tc>
          <w:tcPr>
            <w:tcW w:w="424" w:type="pct"/>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月</w:t>
            </w:r>
          </w:p>
        </w:tc>
        <w:tc>
          <w:tcPr>
            <w:tcW w:w="1890" w:type="pct"/>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外观完好、整洁，外墙装饰无脱落、无乱搭乱建、公共设施无随意占用。</w:t>
            </w:r>
          </w:p>
        </w:tc>
        <w:tc>
          <w:tcPr>
            <w:tcW w:w="922" w:type="pct"/>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每检查1处不合格扣0.5分。</w:t>
            </w:r>
          </w:p>
        </w:tc>
        <w:tc>
          <w:tcPr>
            <w:tcW w:w="492" w:type="pct"/>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r>
      <w:tr>
        <w:tblPrEx>
          <w:tblCellMar>
            <w:top w:w="0" w:type="dxa"/>
            <w:left w:w="108" w:type="dxa"/>
            <w:bottom w:w="0" w:type="dxa"/>
            <w:right w:w="108" w:type="dxa"/>
          </w:tblCellMar>
        </w:tblPrEx>
        <w:trPr>
          <w:jc w:val="center"/>
        </w:trPr>
        <w:tc>
          <w:tcPr>
            <w:tcW w:w="419" w:type="pct"/>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olor w:val="auto"/>
                <w:szCs w:val="21"/>
                <w:highlight w:val="none"/>
              </w:rPr>
              <w:t>二、设备运行</w:t>
            </w:r>
          </w:p>
        </w:tc>
        <w:tc>
          <w:tcPr>
            <w:tcW w:w="425"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设备正常运行</w:t>
            </w:r>
          </w:p>
        </w:tc>
        <w:tc>
          <w:tcPr>
            <w:tcW w:w="425"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优良</w:t>
            </w:r>
          </w:p>
        </w:tc>
        <w:tc>
          <w:tcPr>
            <w:tcW w:w="424"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月</w:t>
            </w:r>
          </w:p>
        </w:tc>
        <w:tc>
          <w:tcPr>
            <w:tcW w:w="1890"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1.保证水、电、排风系统、电梯、消防、安防等设备系统日常运行正常（乙方督促设备设施维保方按照要求对上述设备设施进行维保）、以减少责任事故及安全隐患。</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2.预防故障和日常养护及管理到位。</w:t>
            </w:r>
          </w:p>
        </w:tc>
        <w:tc>
          <w:tcPr>
            <w:tcW w:w="922"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每检查1项不合格扣1分。</w:t>
            </w:r>
          </w:p>
        </w:tc>
        <w:tc>
          <w:tcPr>
            <w:tcW w:w="492"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w:t>
            </w:r>
          </w:p>
        </w:tc>
      </w:tr>
      <w:tr>
        <w:tblPrEx>
          <w:tblCellMar>
            <w:top w:w="0" w:type="dxa"/>
            <w:left w:w="108" w:type="dxa"/>
            <w:bottom w:w="0" w:type="dxa"/>
            <w:right w:w="108" w:type="dxa"/>
          </w:tblCellMar>
        </w:tblPrEx>
        <w:trPr>
          <w:jc w:val="center"/>
        </w:trPr>
        <w:tc>
          <w:tcPr>
            <w:tcW w:w="419" w:type="pct"/>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三、房屋及设施、设备的日常维修、养护</w:t>
            </w:r>
          </w:p>
        </w:tc>
        <w:tc>
          <w:tcPr>
            <w:tcW w:w="425"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维修及时</w:t>
            </w:r>
          </w:p>
        </w:tc>
        <w:tc>
          <w:tcPr>
            <w:tcW w:w="425"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优良</w:t>
            </w:r>
          </w:p>
        </w:tc>
        <w:tc>
          <w:tcPr>
            <w:tcW w:w="424"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月</w:t>
            </w:r>
          </w:p>
        </w:tc>
        <w:tc>
          <w:tcPr>
            <w:tcW w:w="1890"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1.建立共用部位共用设施设备养护管理制度。</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2.保证房屋共用部位、共用设施设备完好，无随意改变用途现象。</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3.不得擅自占用和改变公用设施的使用功能，如需完善或扩建，须与甲方协商，经甲方同意后方可实施。</w:t>
            </w:r>
          </w:p>
        </w:tc>
        <w:tc>
          <w:tcPr>
            <w:tcW w:w="922"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每检查1项不合格扣2分；如影响重大工作进程的，扣此项全分。</w:t>
            </w:r>
          </w:p>
        </w:tc>
        <w:tc>
          <w:tcPr>
            <w:tcW w:w="492" w:type="pct"/>
            <w:tcBorders>
              <w:top w:val="nil"/>
              <w:left w:val="nil"/>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16</w:t>
            </w:r>
          </w:p>
        </w:tc>
      </w:tr>
      <w:tr>
        <w:tblPrEx>
          <w:tblCellMar>
            <w:top w:w="0" w:type="dxa"/>
            <w:left w:w="108" w:type="dxa"/>
            <w:bottom w:w="0" w:type="dxa"/>
            <w:right w:w="108" w:type="dxa"/>
          </w:tblCellMar>
        </w:tblPrEx>
        <w:trPr>
          <w:jc w:val="center"/>
        </w:trPr>
        <w:tc>
          <w:tcPr>
            <w:tcW w:w="419" w:type="pct"/>
            <w:vMerge w:val="restart"/>
            <w:tcBorders>
              <w:top w:val="nil"/>
              <w:left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四、公共环境</w:t>
            </w:r>
          </w:p>
        </w:tc>
        <w:tc>
          <w:tcPr>
            <w:tcW w:w="425"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1、公共环境洁净度</w:t>
            </w:r>
          </w:p>
        </w:tc>
        <w:tc>
          <w:tcPr>
            <w:tcW w:w="425"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优良</w:t>
            </w:r>
          </w:p>
        </w:tc>
        <w:tc>
          <w:tcPr>
            <w:tcW w:w="424"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月</w:t>
            </w:r>
          </w:p>
        </w:tc>
        <w:tc>
          <w:tcPr>
            <w:tcW w:w="1890"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公共场地保持清洁，无纸屑、烟头等废弃物。</w:t>
            </w:r>
          </w:p>
        </w:tc>
        <w:tc>
          <w:tcPr>
            <w:tcW w:w="922"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每检查1处不合格扣0.5分。</w:t>
            </w:r>
          </w:p>
        </w:tc>
        <w:tc>
          <w:tcPr>
            <w:tcW w:w="492"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ascii="宋体" w:hAnsi="宋体" w:cs="宋体"/>
                <w:color w:val="auto"/>
                <w:szCs w:val="21"/>
                <w:highlight w:val="none"/>
              </w:rPr>
              <w:t>10</w:t>
            </w:r>
          </w:p>
        </w:tc>
      </w:tr>
      <w:tr>
        <w:tblPrEx>
          <w:tblCellMar>
            <w:top w:w="0" w:type="dxa"/>
            <w:left w:w="108" w:type="dxa"/>
            <w:bottom w:w="0" w:type="dxa"/>
            <w:right w:w="108" w:type="dxa"/>
          </w:tblCellMar>
        </w:tblPrEx>
        <w:trPr>
          <w:jc w:val="center"/>
        </w:trPr>
        <w:tc>
          <w:tcPr>
            <w:tcW w:w="419" w:type="pct"/>
            <w:vMerge w:val="continue"/>
            <w:tcBorders>
              <w:left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p>
        </w:tc>
        <w:tc>
          <w:tcPr>
            <w:tcW w:w="425"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2、垃圾处理及时</w:t>
            </w:r>
          </w:p>
        </w:tc>
        <w:tc>
          <w:tcPr>
            <w:tcW w:w="425"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优良</w:t>
            </w:r>
          </w:p>
        </w:tc>
        <w:tc>
          <w:tcPr>
            <w:tcW w:w="424"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月</w:t>
            </w:r>
          </w:p>
        </w:tc>
        <w:tc>
          <w:tcPr>
            <w:tcW w:w="1890"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1.办公室及公共区域垃圾桶至少每天清洁1次，定期进行卫生消毒灭菌，巡查时超过2/3容量时，必须做好清理工作。</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2.督促环卫站人员做好垃圾日产日清工作，保洁人员定期进行卫生消毒灭菌。</w:t>
            </w:r>
          </w:p>
        </w:tc>
        <w:tc>
          <w:tcPr>
            <w:tcW w:w="922"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每检查1项不合格扣0.5分。</w:t>
            </w:r>
          </w:p>
        </w:tc>
        <w:tc>
          <w:tcPr>
            <w:tcW w:w="492"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ascii="宋体" w:hAnsi="宋体" w:cs="宋体"/>
                <w:color w:val="auto"/>
                <w:szCs w:val="21"/>
                <w:highlight w:val="none"/>
              </w:rPr>
              <w:t>5</w:t>
            </w:r>
          </w:p>
        </w:tc>
      </w:tr>
      <w:tr>
        <w:tblPrEx>
          <w:tblCellMar>
            <w:top w:w="0" w:type="dxa"/>
            <w:left w:w="108" w:type="dxa"/>
            <w:bottom w:w="0" w:type="dxa"/>
            <w:right w:w="108" w:type="dxa"/>
          </w:tblCellMar>
        </w:tblPrEx>
        <w:trPr>
          <w:jc w:val="center"/>
        </w:trPr>
        <w:tc>
          <w:tcPr>
            <w:tcW w:w="419" w:type="pct"/>
            <w:vMerge w:val="continue"/>
            <w:tcBorders>
              <w:left w:val="single" w:color="auto" w:sz="4" w:space="0"/>
              <w:bottom w:val="single" w:color="000000" w:sz="4" w:space="0"/>
              <w:right w:val="single" w:color="auto" w:sz="4" w:space="0"/>
            </w:tcBorders>
            <w:noWrap w:val="0"/>
            <w:vAlign w:val="center"/>
          </w:tcPr>
          <w:p>
            <w:pPr>
              <w:spacing w:line="360" w:lineRule="auto"/>
              <w:jc w:val="center"/>
              <w:rPr>
                <w:rFonts w:ascii="宋体" w:hAnsi="宋体" w:cs="宋体"/>
                <w:color w:val="auto"/>
                <w:szCs w:val="21"/>
                <w:highlight w:val="none"/>
              </w:rPr>
            </w:pPr>
          </w:p>
        </w:tc>
        <w:tc>
          <w:tcPr>
            <w:tcW w:w="425"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3、虫害消杀</w:t>
            </w:r>
          </w:p>
        </w:tc>
        <w:tc>
          <w:tcPr>
            <w:tcW w:w="425"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优良</w:t>
            </w:r>
          </w:p>
        </w:tc>
        <w:tc>
          <w:tcPr>
            <w:tcW w:w="424"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月</w:t>
            </w:r>
          </w:p>
        </w:tc>
        <w:tc>
          <w:tcPr>
            <w:tcW w:w="1890"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定期对所辖物业进行虫害的杀除工作。</w:t>
            </w:r>
          </w:p>
        </w:tc>
        <w:tc>
          <w:tcPr>
            <w:tcW w:w="922"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每检查1次不合格扣0.5分。</w:t>
            </w:r>
          </w:p>
        </w:tc>
        <w:tc>
          <w:tcPr>
            <w:tcW w:w="492"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w:t>
            </w:r>
          </w:p>
        </w:tc>
      </w:tr>
      <w:tr>
        <w:tblPrEx>
          <w:tblCellMar>
            <w:top w:w="0" w:type="dxa"/>
            <w:left w:w="108" w:type="dxa"/>
            <w:bottom w:w="0" w:type="dxa"/>
            <w:right w:w="108" w:type="dxa"/>
          </w:tblCellMar>
        </w:tblPrEx>
        <w:trPr>
          <w:jc w:val="center"/>
        </w:trPr>
        <w:tc>
          <w:tcPr>
            <w:tcW w:w="419" w:type="pct"/>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五、园林及绿化</w:t>
            </w:r>
          </w:p>
        </w:tc>
        <w:tc>
          <w:tcPr>
            <w:tcW w:w="425"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花木养护质量</w:t>
            </w:r>
          </w:p>
        </w:tc>
        <w:tc>
          <w:tcPr>
            <w:tcW w:w="425"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优良</w:t>
            </w:r>
          </w:p>
        </w:tc>
        <w:tc>
          <w:tcPr>
            <w:tcW w:w="424"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月</w:t>
            </w:r>
          </w:p>
        </w:tc>
        <w:tc>
          <w:tcPr>
            <w:tcW w:w="1890"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1.绿地无改变使用用途和破坏、践踏、占用现象；</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2.园林设施完好整洁，绿化物常绿常新，水池水常清、无明显杂物、池鱼正常情况生长花草树林长势良好、无病虫害、无枯死。</w:t>
            </w:r>
          </w:p>
        </w:tc>
        <w:tc>
          <w:tcPr>
            <w:tcW w:w="922"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每检查1项不合格扣0.5分，扣完为止。</w:t>
            </w:r>
          </w:p>
        </w:tc>
        <w:tc>
          <w:tcPr>
            <w:tcW w:w="492"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ascii="宋体" w:hAnsi="宋体" w:cs="宋体"/>
                <w:color w:val="auto"/>
                <w:szCs w:val="21"/>
                <w:highlight w:val="none"/>
              </w:rPr>
              <w:t>10</w:t>
            </w:r>
          </w:p>
        </w:tc>
      </w:tr>
      <w:tr>
        <w:tblPrEx>
          <w:tblCellMar>
            <w:top w:w="0" w:type="dxa"/>
            <w:left w:w="108" w:type="dxa"/>
            <w:bottom w:w="0" w:type="dxa"/>
            <w:right w:w="108" w:type="dxa"/>
          </w:tblCellMar>
        </w:tblPrEx>
        <w:trPr>
          <w:jc w:val="center"/>
        </w:trPr>
        <w:tc>
          <w:tcPr>
            <w:tcW w:w="419" w:type="pct"/>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六、交通秩序</w:t>
            </w:r>
          </w:p>
        </w:tc>
        <w:tc>
          <w:tcPr>
            <w:tcW w:w="425"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车道通畅度</w:t>
            </w:r>
          </w:p>
        </w:tc>
        <w:tc>
          <w:tcPr>
            <w:tcW w:w="425"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优良</w:t>
            </w:r>
          </w:p>
        </w:tc>
        <w:tc>
          <w:tcPr>
            <w:tcW w:w="424"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月</w:t>
            </w:r>
          </w:p>
        </w:tc>
        <w:tc>
          <w:tcPr>
            <w:tcW w:w="1890"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1.车辆进出有序；“门前三包”达到有关部门的要求；</w:t>
            </w:r>
          </w:p>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2.道路畅通、车辆停放有序。</w:t>
            </w:r>
          </w:p>
        </w:tc>
        <w:tc>
          <w:tcPr>
            <w:tcW w:w="922"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每检查1项不合格扣0.5分。</w:t>
            </w:r>
          </w:p>
        </w:tc>
        <w:tc>
          <w:tcPr>
            <w:tcW w:w="492"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ascii="宋体" w:hAnsi="宋体" w:cs="宋体"/>
                <w:color w:val="auto"/>
                <w:szCs w:val="21"/>
                <w:highlight w:val="none"/>
              </w:rPr>
              <w:t>10</w:t>
            </w:r>
          </w:p>
        </w:tc>
      </w:tr>
      <w:tr>
        <w:tblPrEx>
          <w:tblCellMar>
            <w:top w:w="0" w:type="dxa"/>
            <w:left w:w="108" w:type="dxa"/>
            <w:bottom w:w="0" w:type="dxa"/>
            <w:right w:w="108" w:type="dxa"/>
          </w:tblCellMar>
        </w:tblPrEx>
        <w:trPr>
          <w:jc w:val="center"/>
        </w:trPr>
        <w:tc>
          <w:tcPr>
            <w:tcW w:w="419" w:type="pct"/>
            <w:tcBorders>
              <w:top w:val="nil"/>
              <w:left w:val="single" w:color="auto" w:sz="4" w:space="0"/>
              <w:bottom w:val="single" w:color="000000"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七、治安</w:t>
            </w:r>
          </w:p>
        </w:tc>
        <w:tc>
          <w:tcPr>
            <w:tcW w:w="425"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保安服务质量</w:t>
            </w:r>
          </w:p>
        </w:tc>
        <w:tc>
          <w:tcPr>
            <w:tcW w:w="425"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优良</w:t>
            </w:r>
          </w:p>
        </w:tc>
        <w:tc>
          <w:tcPr>
            <w:tcW w:w="424"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月</w:t>
            </w:r>
          </w:p>
        </w:tc>
        <w:tc>
          <w:tcPr>
            <w:tcW w:w="1890"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24小时值班巡逻，无失窃、被盗、被劫及打架斗殴、责任火灾事件发生，所管理物业公共秩序良好。</w:t>
            </w:r>
          </w:p>
        </w:tc>
        <w:tc>
          <w:tcPr>
            <w:tcW w:w="922"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每检查1次不合格扣0.5分，扣完为止。</w:t>
            </w:r>
          </w:p>
        </w:tc>
        <w:tc>
          <w:tcPr>
            <w:tcW w:w="492" w:type="pct"/>
            <w:tcBorders>
              <w:top w:val="nil"/>
              <w:left w:val="nil"/>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ascii="宋体" w:hAnsi="宋体" w:cs="宋体"/>
                <w:color w:val="auto"/>
                <w:szCs w:val="21"/>
                <w:highlight w:val="none"/>
              </w:rPr>
              <w:t>10</w:t>
            </w:r>
          </w:p>
        </w:tc>
      </w:tr>
      <w:tr>
        <w:tblPrEx>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八、应急预案</w:t>
            </w:r>
          </w:p>
        </w:tc>
        <w:tc>
          <w:tcPr>
            <w:tcW w:w="42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突发事件处理</w:t>
            </w:r>
          </w:p>
        </w:tc>
        <w:tc>
          <w:tcPr>
            <w:tcW w:w="42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优良</w:t>
            </w:r>
          </w:p>
        </w:tc>
        <w:tc>
          <w:tcPr>
            <w:tcW w:w="4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月</w:t>
            </w:r>
          </w:p>
        </w:tc>
        <w:tc>
          <w:tcPr>
            <w:tcW w:w="189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各项工作须有应急预案，有专人负责；急修要求五分钟到位，小修要求半小时内到位。</w:t>
            </w:r>
          </w:p>
        </w:tc>
        <w:tc>
          <w:tcPr>
            <w:tcW w:w="92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每迟到1次扣2分；超过10分钟扣此项全分。出现1次造成影响和财产损失的，此项扣全分，并照价赔偿；未造成财产损失的，每次扣1分。</w:t>
            </w:r>
          </w:p>
        </w:tc>
        <w:tc>
          <w:tcPr>
            <w:tcW w:w="49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8</w:t>
            </w:r>
          </w:p>
        </w:tc>
      </w:tr>
      <w:tr>
        <w:tblPrEx>
          <w:tblCellMar>
            <w:top w:w="0" w:type="dxa"/>
            <w:left w:w="108" w:type="dxa"/>
            <w:bottom w:w="0" w:type="dxa"/>
            <w:right w:w="108" w:type="dxa"/>
          </w:tblCellMar>
        </w:tblPrEx>
        <w:trPr>
          <w:jc w:val="center"/>
        </w:trPr>
        <w:tc>
          <w:tcPr>
            <w:tcW w:w="419"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九、管理制度</w:t>
            </w:r>
          </w:p>
        </w:tc>
        <w:tc>
          <w:tcPr>
            <w:tcW w:w="42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物业管理制度</w:t>
            </w:r>
          </w:p>
        </w:tc>
        <w:tc>
          <w:tcPr>
            <w:tcW w:w="425"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优良</w:t>
            </w:r>
          </w:p>
        </w:tc>
        <w:tc>
          <w:tcPr>
            <w:tcW w:w="424"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月</w:t>
            </w:r>
          </w:p>
        </w:tc>
        <w:tc>
          <w:tcPr>
            <w:tcW w:w="1890"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物业管理制度健全，管理落实到位。</w:t>
            </w:r>
          </w:p>
        </w:tc>
        <w:tc>
          <w:tcPr>
            <w:tcW w:w="92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每检查1项不合格扣0.5分，扣完为止。</w:t>
            </w:r>
          </w:p>
        </w:tc>
        <w:tc>
          <w:tcPr>
            <w:tcW w:w="492" w:type="pc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6</w:t>
            </w:r>
          </w:p>
        </w:tc>
      </w:tr>
    </w:tbl>
    <w:p>
      <w:pPr>
        <w:rPr>
          <w:color w:val="auto"/>
          <w:highlight w:val="none"/>
        </w:rPr>
      </w:pPr>
    </w:p>
    <w:p>
      <w:pPr>
        <w:bidi w:val="0"/>
        <w:rPr>
          <w:rFonts w:hint="eastAsia"/>
        </w:rPr>
      </w:pPr>
    </w:p>
    <w:p>
      <w:pPr>
        <w:pStyle w:val="10"/>
        <w:bidi w:val="0"/>
        <w:rPr>
          <w:rFonts w:hint="eastAsia"/>
        </w:rPr>
      </w:pPr>
    </w:p>
    <w:p>
      <w:bookmarkStart w:id="1" w:name="_GoBack"/>
      <w:bookmarkEnd w:id="1"/>
    </w:p>
    <w:sectPr>
      <w:pgSz w:w="11906" w:h="16838"/>
      <w:pgMar w:top="1440" w:right="1080" w:bottom="1440" w:left="1080" w:header="851" w:footer="851" w:gutter="0"/>
      <w:pgBorders>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0ODFhZTc4NTZhYjAyZWU2OWFjYjllMDkwZThhNWUifQ=="/>
  </w:docVars>
  <w:rsids>
    <w:rsidRoot w:val="6DD22A73"/>
    <w:rsid w:val="02230762"/>
    <w:rsid w:val="038452FB"/>
    <w:rsid w:val="0D897A95"/>
    <w:rsid w:val="18D07FBD"/>
    <w:rsid w:val="30E012AC"/>
    <w:rsid w:val="48D545D9"/>
    <w:rsid w:val="4DA96361"/>
    <w:rsid w:val="603016E7"/>
    <w:rsid w:val="61D90741"/>
    <w:rsid w:val="66813A2B"/>
    <w:rsid w:val="6C3A1E58"/>
    <w:rsid w:val="6DD22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Calibri"/>
      <w:kern w:val="2"/>
      <w:sz w:val="21"/>
      <w:szCs w:val="21"/>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99"/>
    <w:pPr>
      <w:keepNext/>
      <w:keepLines/>
      <w:spacing w:before="260" w:after="260" w:line="413" w:lineRule="auto"/>
      <w:outlineLvl w:val="1"/>
    </w:pPr>
    <w:rPr>
      <w:rFonts w:ascii="Arial" w:hAnsi="Arial" w:eastAsia="黑体" w:cs="Times New Roman"/>
      <w:b/>
      <w:bCs/>
      <w:kern w:val="0"/>
      <w:sz w:val="32"/>
      <w:szCs w:val="32"/>
    </w:rPr>
  </w:style>
  <w:style w:type="paragraph" w:styleId="5">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ascii="Times New Roman" w:hAnsi="Times New Roman" w:eastAsia="宋体"/>
      <w:b/>
      <w:sz w:val="32"/>
    </w:rPr>
  </w:style>
  <w:style w:type="paragraph" w:styleId="6">
    <w:name w:val="heading 5"/>
    <w:basedOn w:val="1"/>
    <w:next w:val="1"/>
    <w:semiHidden/>
    <w:unhideWhenUsed/>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7">
    <w:name w:val="heading 6"/>
    <w:basedOn w:val="1"/>
    <w:next w:val="1"/>
    <w:semiHidden/>
    <w:unhideWhenUsed/>
    <w:qFormat/>
    <w:uiPriority w:val="0"/>
    <w:pPr>
      <w:keepNext/>
      <w:keepLines/>
      <w:spacing w:before="480" w:beforeLines="0" w:beforeAutospacing="0" w:after="304" w:afterLines="0" w:afterAutospacing="0" w:line="317" w:lineRule="auto"/>
      <w:outlineLvl w:val="5"/>
    </w:pPr>
    <w:rPr>
      <w:rFonts w:ascii="Arial" w:hAnsi="Arial" w:eastAsia="黑体" w:cs="Times New Roman"/>
      <w:b/>
      <w:sz w:val="24"/>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cs="Times New Roman"/>
      <w:b/>
      <w:bCs/>
      <w:sz w:val="32"/>
      <w:szCs w:val="32"/>
    </w:rPr>
  </w:style>
  <w:style w:type="paragraph" w:styleId="8">
    <w:name w:val="annotation text"/>
    <w:basedOn w:val="1"/>
    <w:link w:val="13"/>
    <w:uiPriority w:val="0"/>
    <w:pPr>
      <w:jc w:val="left"/>
    </w:pPr>
    <w:rPr>
      <w:rFonts w:ascii="Times New Roman" w:hAnsi="Times New Roman" w:eastAsia="宋体" w:cs="Times New Roman"/>
    </w:rPr>
  </w:style>
  <w:style w:type="paragraph" w:styleId="9">
    <w:name w:val="Body Text"/>
    <w:basedOn w:val="1"/>
    <w:qFormat/>
    <w:uiPriority w:val="99"/>
    <w:pPr>
      <w:autoSpaceDE w:val="0"/>
      <w:autoSpaceDN w:val="0"/>
      <w:adjustRightInd w:val="0"/>
      <w:spacing w:after="120" w:afterLines="0"/>
      <w:jc w:val="left"/>
    </w:pPr>
    <w:rPr>
      <w:rFonts w:ascii="宋体"/>
      <w:kern w:val="0"/>
      <w:sz w:val="34"/>
      <w:szCs w:val="20"/>
    </w:rPr>
  </w:style>
  <w:style w:type="paragraph" w:styleId="10">
    <w:name w:val="Plain Text"/>
    <w:basedOn w:val="1"/>
    <w:next w:val="1"/>
    <w:autoRedefine/>
    <w:qFormat/>
    <w:uiPriority w:val="99"/>
    <w:rPr>
      <w:rFonts w:ascii="宋体" w:hAnsi="Courier New" w:cs="Times New Roman"/>
      <w:kern w:val="0"/>
      <w:sz w:val="20"/>
    </w:rPr>
  </w:style>
  <w:style w:type="character" w:customStyle="1" w:styleId="13">
    <w:name w:val="批注文字 Char1"/>
    <w:link w:val="8"/>
    <w:autoRedefine/>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7263</Words>
  <Characters>7439</Characters>
  <Lines>0</Lines>
  <Paragraphs>0</Paragraphs>
  <TotalTime>0</TotalTime>
  <ScaleCrop>false</ScaleCrop>
  <LinksUpToDate>false</LinksUpToDate>
  <CharactersWithSpaces>7458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2024-05-16T08:18:00Z</dcterms:created>
  <dc:creator>Administrator黄</dc:creator>
  <cp:lastModifiedBy>Administrator黄</cp:lastModifiedBy>
  <dcterms:modified xsi:type="dcterms:W3CDTF">2024-06-03T02:20:35Z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A553E54B52A145C4A37AA16A4BBAEE9D_11</vt:lpwstr>
  </property>
</Properties>
</file>