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rsidR="00A77B3E">
      <w:r>
        <w:rPr>
          <w:rFonts w:ascii="Times New Roman" w:eastAsia="Times New Roman" w:hAnsi="Times New Roman" w:cs="Times New Roman"/>
        </w:rPr>
        <w:t xml:space="preserve"> </w:t>
      </w:r>
    </w:p>
    <w:p>
      <w:pPr>
        <w:pStyle w:val="MsoNormal"/>
        <w:spacing w:line="480" w:lineRule="atLeast"/>
        <w:jc w:val="center"/>
        <w:rPr>
          <w:rFonts w:ascii="Times New Roman" w:eastAsia="Times New Roman" w:hAnsi="Times New Roman" w:cs="Times New Roman"/>
        </w:rPr>
      </w:pPr>
      <w:r>
        <w:rPr>
          <w:rFonts w:ascii="Times New Roman" w:eastAsia="Times New Roman" w:hAnsi="Times New Roman" w:cs="Times New Roman"/>
        </w:rPr>
        <w:t xml:space="preserve"> </w:t>
      </w:r>
    </w:p>
    <w:p>
      <w:pPr>
        <w:pStyle w:val="MsoNormal"/>
        <w:pBdr>
          <w:top w:val="single" w:sz="8" w:space="0" w:color="000000"/>
          <w:left w:val="single" w:sz="8" w:space="0" w:color="000000"/>
          <w:bottom w:val="single" w:sz="8" w:space="0" w:color="000000"/>
          <w:right w:val="single" w:sz="8" w:space="0" w:color="000000"/>
        </w:pBdr>
        <w:spacing w:before="240" w:after="240" w:line="480" w:lineRule="atLeast"/>
        <w:ind w:left="100" w:right="100" w:firstLine="480"/>
        <w:rPr>
          <w:rFonts w:ascii="Times New Roman" w:eastAsia="Times New Roman" w:hAnsi="Times New Roman" w:cs="Times New Roman"/>
        </w:rPr>
      </w:pPr>
      <w:r>
        <w:rPr>
          <w:rFonts w:ascii="宋体" w:eastAsia="宋体" w:hAnsi="宋体" w:cs="宋体"/>
        </w:rPr>
        <w:t>项目概况</w:t>
      </w:r>
    </w:p>
    <w:p>
      <w:pPr>
        <w:pStyle w:val="MsoNormal"/>
        <w:pBdr>
          <w:top w:val="single" w:sz="8" w:space="0" w:color="000000"/>
          <w:left w:val="single" w:sz="8" w:space="0" w:color="000000"/>
          <w:bottom w:val="single" w:sz="8" w:space="0" w:color="000000"/>
          <w:right w:val="single" w:sz="8" w:space="0" w:color="000000"/>
        </w:pBdr>
        <w:spacing w:before="240" w:after="240" w:line="480" w:lineRule="atLeast"/>
        <w:ind w:left="100" w:right="100" w:firstLine="480"/>
        <w:rPr>
          <w:rFonts w:ascii="Times New Roman" w:eastAsia="Times New Roman" w:hAnsi="Times New Roman" w:cs="Times New Roman"/>
        </w:rPr>
      </w:pPr>
      <w:r>
        <w:rPr>
          <w:rFonts w:ascii="宋体" w:eastAsia="宋体" w:hAnsi="宋体" w:cs="宋体"/>
          <w:u w:val="single"/>
        </w:rPr>
        <w:t>国家税务总局广西壮族自治区税务局存量房交易价格评估系统优化升级项目</w:t>
      </w:r>
      <w:r>
        <w:rPr>
          <w:rFonts w:ascii="宋体" w:eastAsia="宋体" w:hAnsi="宋体" w:cs="宋体"/>
        </w:rPr>
        <w:t>的潜在投标人应在</w:t>
      </w:r>
      <w:r>
        <w:rPr>
          <w:rFonts w:ascii="宋体" w:eastAsia="宋体" w:hAnsi="宋体" w:cs="宋体"/>
          <w:u w:val="single"/>
        </w:rPr>
        <w:t>云之龙招标集团有限公司（南宁市良庆区云英路</w:t>
      </w:r>
      <w:r>
        <w:rPr>
          <w:rFonts w:ascii="宋体" w:eastAsia="宋体" w:hAnsi="宋体" w:cs="宋体"/>
          <w:u w:val="single"/>
        </w:rPr>
        <w:t>15</w:t>
      </w:r>
      <w:r>
        <w:rPr>
          <w:rFonts w:ascii="宋体" w:eastAsia="宋体" w:hAnsi="宋体" w:cs="宋体"/>
          <w:u w:val="single"/>
        </w:rPr>
        <w:t>号</w:t>
      </w:r>
      <w:r>
        <w:rPr>
          <w:rFonts w:ascii="宋体" w:eastAsia="宋体" w:hAnsi="宋体" w:cs="宋体"/>
          <w:u w:val="single"/>
        </w:rPr>
        <w:t>3</w:t>
      </w:r>
      <w:r>
        <w:rPr>
          <w:rFonts w:ascii="宋体" w:eastAsia="宋体" w:hAnsi="宋体" w:cs="宋体"/>
          <w:u w:val="single"/>
        </w:rPr>
        <w:t>号楼云之龙咨询集团大厦</w:t>
      </w:r>
      <w:r>
        <w:rPr>
          <w:rFonts w:ascii="宋体" w:eastAsia="宋体" w:hAnsi="宋体" w:cs="宋体"/>
          <w:u w:val="single"/>
        </w:rPr>
        <w:t>6</w:t>
      </w:r>
      <w:r>
        <w:rPr>
          <w:rFonts w:ascii="宋体" w:eastAsia="宋体" w:hAnsi="宋体" w:cs="宋体"/>
          <w:u w:val="single"/>
        </w:rPr>
        <w:t>楼）</w:t>
      </w:r>
      <w:r>
        <w:rPr>
          <w:rFonts w:ascii="宋体" w:eastAsia="宋体" w:hAnsi="宋体" w:cs="宋体"/>
        </w:rPr>
        <w:t>获取招标文件，并于</w:t>
      </w:r>
      <w:r>
        <w:rPr>
          <w:rFonts w:ascii="宋体" w:eastAsia="宋体" w:hAnsi="宋体" w:cs="宋体"/>
          <w:u w:val="single"/>
        </w:rPr>
        <w:t>2023</w:t>
      </w:r>
      <w:r>
        <w:rPr>
          <w:rFonts w:ascii="宋体" w:eastAsia="宋体" w:hAnsi="宋体" w:cs="宋体"/>
          <w:u w:val="single"/>
        </w:rPr>
        <w:t>年</w:t>
      </w:r>
      <w:r>
        <w:rPr>
          <w:rFonts w:ascii="宋体" w:eastAsia="宋体" w:hAnsi="宋体" w:cs="宋体"/>
          <w:u w:val="single"/>
        </w:rPr>
        <w:t>2</w:t>
      </w:r>
      <w:r>
        <w:rPr>
          <w:rFonts w:ascii="宋体" w:eastAsia="宋体" w:hAnsi="宋体" w:cs="宋体"/>
          <w:u w:val="single"/>
        </w:rPr>
        <w:t>月</w:t>
      </w:r>
      <w:r>
        <w:rPr>
          <w:rFonts w:ascii="宋体" w:eastAsia="宋体" w:hAnsi="宋体" w:cs="宋体"/>
          <w:u w:val="single"/>
        </w:rPr>
        <w:t>8</w:t>
      </w:r>
      <w:r>
        <w:rPr>
          <w:rFonts w:ascii="宋体" w:eastAsia="宋体" w:hAnsi="宋体" w:cs="宋体"/>
          <w:u w:val="single"/>
        </w:rPr>
        <w:t>日</w:t>
      </w:r>
      <w:r>
        <w:rPr>
          <w:rFonts w:ascii="宋体" w:eastAsia="宋体" w:hAnsi="宋体" w:cs="宋体"/>
          <w:u w:val="single"/>
        </w:rPr>
        <w:t>9</w:t>
      </w:r>
      <w:r>
        <w:rPr>
          <w:rFonts w:ascii="宋体" w:eastAsia="宋体" w:hAnsi="宋体" w:cs="宋体"/>
          <w:u w:val="single"/>
        </w:rPr>
        <w:t>点</w:t>
      </w:r>
      <w:r>
        <w:rPr>
          <w:rFonts w:ascii="宋体" w:eastAsia="宋体" w:hAnsi="宋体" w:cs="宋体"/>
          <w:u w:val="single"/>
        </w:rPr>
        <w:t>30</w:t>
      </w:r>
      <w:r>
        <w:rPr>
          <w:rFonts w:ascii="宋体" w:eastAsia="宋体" w:hAnsi="宋体" w:cs="宋体"/>
          <w:u w:val="single"/>
        </w:rPr>
        <w:t>分（</w:t>
      </w:r>
      <w:r>
        <w:rPr>
          <w:rFonts w:ascii="宋体" w:eastAsia="宋体" w:hAnsi="宋体" w:cs="宋体"/>
        </w:rPr>
        <w:t>北京时间）前递交投标文件</w:t>
      </w:r>
      <w:r>
        <w:rPr>
          <w:rFonts w:ascii="宋体" w:eastAsia="宋体" w:hAnsi="宋体" w:cs="宋体"/>
        </w:rPr>
        <w:t>。</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一、项目基本情况</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项目编号：</w:t>
      </w:r>
      <w:r>
        <w:rPr>
          <w:rFonts w:ascii="宋体" w:eastAsia="宋体" w:hAnsi="宋体" w:cs="宋体"/>
        </w:rPr>
        <w:t>YZLNN2023-G3-001-ZYZC ( GX220117)</w:t>
      </w:r>
    </w:p>
    <w:p>
      <w:pPr>
        <w:pStyle w:val="MsoNormal"/>
        <w:spacing w:before="240" w:after="240" w:line="480" w:lineRule="atLeast"/>
        <w:ind w:left="1680" w:hanging="1200"/>
        <w:rPr>
          <w:rFonts w:ascii="Times New Roman" w:eastAsia="Times New Roman" w:hAnsi="Times New Roman" w:cs="Times New Roman"/>
        </w:rPr>
      </w:pPr>
      <w:r>
        <w:rPr>
          <w:rFonts w:ascii="宋体" w:eastAsia="宋体" w:hAnsi="宋体" w:cs="宋体"/>
        </w:rPr>
        <w:t>项目名称：国家税务总局广西壮族自治区税务局存量房交易价格评估系统优化升级项目</w:t>
      </w:r>
    </w:p>
    <w:p>
      <w:pPr>
        <w:pStyle w:val="MsoNormal"/>
        <w:spacing w:before="240" w:after="240" w:line="480" w:lineRule="atLeast"/>
        <w:ind w:firstLine="482"/>
        <w:rPr>
          <w:rFonts w:ascii="Times New Roman" w:eastAsia="Times New Roman" w:hAnsi="Times New Roman" w:cs="Times New Roman"/>
        </w:rPr>
      </w:pPr>
      <w:r>
        <w:rPr>
          <w:rFonts w:ascii="宋体" w:eastAsia="宋体" w:hAnsi="宋体" w:cs="宋体"/>
          <w:b/>
          <w:bCs/>
        </w:rPr>
        <w:t>预算金额：</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人民币（大写）柒拾叁万陆仟贰佰元整（</w:t>
      </w:r>
      <w:r>
        <w:rPr>
          <w:rFonts w:ascii="宋体" w:eastAsia="宋体" w:hAnsi="宋体" w:cs="宋体"/>
        </w:rPr>
        <w:t>¥736200.00</w:t>
      </w:r>
      <w:r>
        <w:rPr>
          <w:rFonts w:ascii="宋体" w:eastAsia="宋体" w:hAnsi="宋体" w:cs="宋体"/>
        </w:rPr>
        <w:t>）</w:t>
      </w:r>
    </w:p>
    <w:p>
      <w:pPr>
        <w:pStyle w:val="MsoNormal"/>
        <w:spacing w:before="240" w:after="240" w:line="480" w:lineRule="atLeast"/>
        <w:ind w:firstLine="482"/>
        <w:rPr>
          <w:rFonts w:ascii="Times New Roman" w:eastAsia="Times New Roman" w:hAnsi="Times New Roman" w:cs="Times New Roman"/>
        </w:rPr>
      </w:pPr>
      <w:r>
        <w:rPr>
          <w:rFonts w:ascii="宋体" w:eastAsia="宋体" w:hAnsi="宋体" w:cs="宋体"/>
          <w:b/>
          <w:bCs/>
        </w:rPr>
        <w:t>最高限价：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人民币（大写）柒拾叁万陆仟贰佰元整（</w:t>
      </w:r>
      <w:r>
        <w:rPr>
          <w:rFonts w:ascii="宋体" w:eastAsia="宋体" w:hAnsi="宋体" w:cs="宋体"/>
        </w:rPr>
        <w:t>¥736200.00</w:t>
      </w:r>
      <w:r>
        <w:rPr>
          <w:rFonts w:ascii="宋体" w:eastAsia="宋体" w:hAnsi="宋体" w:cs="宋体"/>
        </w:rPr>
        <w:t>）</w:t>
      </w:r>
    </w:p>
    <w:p>
      <w:pPr>
        <w:pStyle w:val="MsoNormal"/>
        <w:spacing w:before="240" w:after="240" w:line="480" w:lineRule="atLeast"/>
        <w:ind w:firstLine="482"/>
        <w:rPr>
          <w:rFonts w:ascii="Times New Roman" w:eastAsia="Times New Roman" w:hAnsi="Times New Roman" w:cs="Times New Roman"/>
        </w:rPr>
      </w:pPr>
      <w:r>
        <w:rPr>
          <w:rFonts w:ascii="宋体" w:eastAsia="宋体" w:hAnsi="宋体" w:cs="宋体"/>
          <w:b/>
          <w:bCs/>
        </w:rPr>
        <w:t xml:space="preserve">采购需求： </w:t>
      </w:r>
    </w:p>
    <w:tbl>
      <w:tblPr>
        <w:tblStyle w:val="MsoNormalTable"/>
        <w:tblInd w:w="128" w:type="dxa"/>
        <w:tblCellMar>
          <w:top w:w="0" w:type="dxa"/>
          <w:left w:w="0" w:type="dxa"/>
          <w:bottom w:w="0" w:type="dxa"/>
          <w:right w:w="0" w:type="dxa"/>
        </w:tblCellMar>
        <w:tblLook w:val="05E0"/>
      </w:tblPr>
      <w:tblGrid>
        <w:gridCol w:w="635"/>
        <w:gridCol w:w="3636"/>
        <w:gridCol w:w="815"/>
        <w:gridCol w:w="26594"/>
      </w:tblGrid>
      <w:tr>
        <w:tblPrEx>
          <w:tblInd w:w="128" w:type="dxa"/>
          <w:tblCellMar>
            <w:top w:w="0" w:type="dxa"/>
            <w:left w:w="0" w:type="dxa"/>
            <w:bottom w:w="0" w:type="dxa"/>
            <w:right w:w="0" w:type="dxa"/>
          </w:tblCellMar>
          <w:tblLook w:val="05E0"/>
        </w:tblPrEx>
        <w:tc>
          <w:tcPr>
            <w:tcW w:w="943" w:type="dxa"/>
            <w:tcBorders>
              <w:top w:val="single" w:sz="8" w:space="0" w:color="000000"/>
              <w:left w:val="single" w:sz="8" w:space="0" w:color="000000"/>
              <w:bottom w:val="single" w:sz="8" w:space="0" w:color="000000"/>
              <w:right w:val="single" w:sz="8" w:space="0" w:color="000000"/>
            </w:tcBorders>
            <w:noWrap w:val="0"/>
            <w:tcMar>
              <w:top w:w="10" w:type="dxa"/>
              <w:left w:w="118"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序号</w:t>
            </w:r>
          </w:p>
        </w:tc>
        <w:tc>
          <w:tcPr>
            <w:tcW w:w="2321" w:type="dxa"/>
            <w:tcBorders>
              <w:top w:val="single" w:sz="8" w:space="0" w:color="000000"/>
              <w:bottom w:val="single" w:sz="8" w:space="0" w:color="000000"/>
              <w:right w:val="single" w:sz="8" w:space="0" w:color="000000"/>
            </w:tcBorders>
            <w:noWrap w:val="0"/>
            <w:tcMar>
              <w:top w:w="10"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标的名称</w:t>
            </w:r>
          </w:p>
        </w:tc>
        <w:tc>
          <w:tcPr>
            <w:tcW w:w="1218" w:type="dxa"/>
            <w:tcBorders>
              <w:top w:val="single" w:sz="8" w:space="0" w:color="000000"/>
              <w:bottom w:val="single" w:sz="8" w:space="0" w:color="000000"/>
              <w:right w:val="single" w:sz="8" w:space="0" w:color="000000"/>
            </w:tcBorders>
            <w:noWrap w:val="0"/>
            <w:tcMar>
              <w:top w:w="10" w:type="dxa"/>
              <w:left w:w="113" w:type="dxa"/>
              <w:bottom w:w="10" w:type="dxa"/>
              <w:right w:w="118" w:type="dxa"/>
            </w:tcMar>
            <w:vAlign w:val="center"/>
            <w:hideMark/>
          </w:tcPr>
          <w:p>
            <w:pPr>
              <w:pStyle w:val="MsoNormal"/>
              <w:spacing w:after="240"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数量及</w:t>
            </w:r>
          </w:p>
          <w:p>
            <w:pPr>
              <w:pStyle w:val="MsoNormal"/>
              <w:spacing w:before="240"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单位</w:t>
            </w:r>
          </w:p>
        </w:tc>
        <w:tc>
          <w:tcPr>
            <w:tcW w:w="5435" w:type="dxa"/>
            <w:tcBorders>
              <w:top w:val="single" w:sz="8" w:space="0" w:color="000000"/>
              <w:bottom w:val="single" w:sz="8" w:space="0" w:color="000000"/>
              <w:right w:val="single" w:sz="8" w:space="0" w:color="000000"/>
            </w:tcBorders>
            <w:noWrap w:val="0"/>
            <w:tcMar>
              <w:top w:w="10"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简要技术需求或者服务要求</w:t>
            </w:r>
          </w:p>
        </w:tc>
      </w:tr>
      <w:tr>
        <w:tblPrEx>
          <w:tblInd w:w="128" w:type="dxa"/>
          <w:tblCellMar>
            <w:top w:w="0" w:type="dxa"/>
            <w:left w:w="0" w:type="dxa"/>
            <w:bottom w:w="0" w:type="dxa"/>
            <w:right w:w="0" w:type="dxa"/>
          </w:tblCellMar>
          <w:tblLook w:val="05E0"/>
        </w:tblPrEx>
        <w:trPr>
          <w:trHeight w:val="537"/>
        </w:trPr>
        <w:tc>
          <w:tcPr>
            <w:tcW w:w="943" w:type="dxa"/>
            <w:tcBorders>
              <w:left w:val="single" w:sz="8" w:space="0" w:color="000000"/>
              <w:bottom w:val="single" w:sz="8" w:space="0" w:color="000000"/>
              <w:right w:val="single" w:sz="8" w:space="0" w:color="000000"/>
            </w:tcBorders>
            <w:noWrap w:val="0"/>
            <w:tcMar>
              <w:top w:w="5" w:type="dxa"/>
              <w:left w:w="118"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1</w:t>
            </w:r>
          </w:p>
        </w:tc>
        <w:tc>
          <w:tcPr>
            <w:tcW w:w="2321" w:type="dxa"/>
            <w:tcBorders>
              <w:bottom w:val="single" w:sz="8" w:space="0" w:color="000000"/>
              <w:right w:val="single" w:sz="8" w:space="0" w:color="000000"/>
            </w:tcBorders>
            <w:noWrap w:val="0"/>
            <w:tcMar>
              <w:top w:w="5"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存量房交易价格评估系统优化升级项目</w:t>
            </w:r>
          </w:p>
        </w:tc>
        <w:tc>
          <w:tcPr>
            <w:tcW w:w="1218" w:type="dxa"/>
            <w:tcBorders>
              <w:bottom w:val="single" w:sz="8" w:space="0" w:color="000000"/>
              <w:right w:val="single" w:sz="8" w:space="0" w:color="000000"/>
            </w:tcBorders>
            <w:noWrap w:val="0"/>
            <w:tcMar>
              <w:top w:w="5" w:type="dxa"/>
              <w:left w:w="113" w:type="dxa"/>
              <w:bottom w:w="10" w:type="dxa"/>
              <w:right w:w="118" w:type="dxa"/>
            </w:tcMar>
            <w:vAlign w:val="center"/>
            <w:hideMark/>
          </w:tcPr>
          <w:p>
            <w:pPr>
              <w:pStyle w:val="MsoNormal"/>
              <w:spacing w:line="480" w:lineRule="atLeast"/>
              <w:jc w:val="center"/>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1</w:t>
            </w:r>
            <w:r>
              <w:rPr>
                <w:rFonts w:ascii="宋体" w:eastAsia="宋体" w:hAnsi="宋体" w:cs="宋体"/>
                <w:b w:val="0"/>
                <w:bCs w:val="0"/>
                <w:i w:val="0"/>
                <w:iCs w:val="0"/>
                <w:smallCaps w:val="0"/>
                <w:color w:val="000000"/>
              </w:rPr>
              <w:t>项</w:t>
            </w:r>
          </w:p>
        </w:tc>
        <w:tc>
          <w:tcPr>
            <w:tcW w:w="5435" w:type="dxa"/>
            <w:tcBorders>
              <w:bottom w:val="single" w:sz="8" w:space="0" w:color="000000"/>
              <w:right w:val="single" w:sz="8" w:space="0" w:color="000000"/>
            </w:tcBorders>
            <w:noWrap w:val="0"/>
            <w:tcMar>
              <w:top w:w="5" w:type="dxa"/>
              <w:left w:w="113" w:type="dxa"/>
              <w:bottom w:w="10" w:type="dxa"/>
              <w:right w:w="118" w:type="dxa"/>
            </w:tcMar>
            <w:vAlign w:val="center"/>
            <w:hideMark/>
          </w:tcPr>
          <w:p>
            <w:pPr>
              <w:pStyle w:val="MsoNormal"/>
              <w:spacing w:after="240" w:line="480" w:lineRule="atLeast"/>
              <w:ind w:firstLine="480"/>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存量房交易价格评估系统优化升级项目建设在充分利用已有的硬件资源、软件资源、信息资源、人力资源的基础上，运用成熟稳定的信息技术升级完善现有业务流程和使用者的融合度，不断提升征管质量和效率，实现满足用户的现实和长远需求，提高纳税人满意度和遵从度，增强税收风险防控；主要包含升级完善需求及本地规划需求两大部分。</w:t>
            </w:r>
          </w:p>
          <w:p>
            <w:pPr>
              <w:pStyle w:val="MsoNormal"/>
              <w:spacing w:before="240" w:line="480" w:lineRule="atLeast"/>
              <w:ind w:firstLine="480"/>
              <w:rPr>
                <w:rFonts w:ascii="Times New Roman" w:eastAsia="Times New Roman" w:hAnsi="Times New Roman" w:cs="Times New Roman"/>
                <w:b w:val="0"/>
                <w:bCs w:val="0"/>
                <w:i w:val="0"/>
                <w:iCs w:val="0"/>
                <w:smallCaps w:val="0"/>
                <w:color w:val="000000"/>
              </w:rPr>
            </w:pPr>
            <w:r>
              <w:rPr>
                <w:rFonts w:ascii="宋体" w:eastAsia="宋体" w:hAnsi="宋体" w:cs="宋体"/>
                <w:b w:val="0"/>
                <w:bCs w:val="0"/>
                <w:i w:val="0"/>
                <w:iCs w:val="0"/>
                <w:smallCaps w:val="0"/>
                <w:color w:val="000000"/>
              </w:rPr>
              <w:t>如需进一步了解详细内容，详见本项目招标文件。</w:t>
            </w:r>
          </w:p>
        </w:tc>
      </w:tr>
    </w:tbl>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合同履行期限：</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自合同签订之日起</w:t>
      </w:r>
      <w:r>
        <w:rPr>
          <w:rFonts w:ascii="Times New Roman" w:eastAsia="Times New Roman" w:hAnsi="Times New Roman" w:cs="Times New Roman"/>
        </w:rPr>
        <w:t>3</w:t>
      </w:r>
      <w:r>
        <w:rPr>
          <w:rFonts w:ascii="宋体" w:eastAsia="宋体" w:hAnsi="宋体" w:cs="宋体"/>
        </w:rPr>
        <w:t>个月内，完成项目涉及的全部升级改造工作，项目开发任务完成后，自初验合格之日起提供为期</w:t>
      </w:r>
      <w:r>
        <w:rPr>
          <w:rFonts w:ascii="Times New Roman" w:eastAsia="Times New Roman" w:hAnsi="Times New Roman" w:cs="Times New Roman"/>
        </w:rPr>
        <w:t>1</w:t>
      </w:r>
      <w:r>
        <w:rPr>
          <w:rFonts w:ascii="宋体" w:eastAsia="宋体" w:hAnsi="宋体" w:cs="宋体"/>
        </w:rPr>
        <w:t>年的运维服务。</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本项目不接受联合体投标。</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二、投标人的资格要求：</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满足《中华人民共和国政府采购法》第二十二条规定；</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2.</w:t>
      </w:r>
      <w:r>
        <w:rPr>
          <w:rFonts w:ascii="宋体" w:eastAsia="宋体" w:hAnsi="宋体" w:cs="宋体"/>
        </w:rPr>
        <w:t>落实政府采购政策需满足的资格要求：</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符合《政府采购促进中小企业发展管理办法》（财库﹝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46</w:t>
      </w:r>
      <w:r>
        <w:rPr>
          <w:rFonts w:ascii="宋体" w:eastAsia="宋体" w:hAnsi="宋体" w:cs="宋体"/>
        </w:rPr>
        <w:t>号）、《关于政府采购支持监狱企业发展有关问题的通知》</w:t>
      </w:r>
      <w:r>
        <w:rPr>
          <w:rFonts w:ascii="宋体" w:eastAsia="宋体" w:hAnsi="宋体" w:cs="宋体"/>
        </w:rPr>
        <w:t>(</w:t>
      </w:r>
      <w:r>
        <w:rPr>
          <w:rFonts w:ascii="宋体" w:eastAsia="宋体" w:hAnsi="宋体" w:cs="宋体"/>
        </w:rPr>
        <w:t>财库〔</w:t>
      </w:r>
      <w:r>
        <w:rPr>
          <w:rFonts w:ascii="宋体" w:eastAsia="宋体" w:hAnsi="宋体" w:cs="宋体"/>
        </w:rPr>
        <w:t>2014</w:t>
      </w:r>
      <w:r>
        <w:rPr>
          <w:rFonts w:ascii="宋体" w:eastAsia="宋体" w:hAnsi="宋体" w:cs="宋体"/>
        </w:rPr>
        <w:t>〕</w:t>
      </w:r>
      <w:r>
        <w:rPr>
          <w:rFonts w:ascii="宋体" w:eastAsia="宋体" w:hAnsi="宋体" w:cs="宋体"/>
        </w:rPr>
        <w:t>68</w:t>
      </w:r>
      <w:r>
        <w:rPr>
          <w:rFonts w:ascii="宋体" w:eastAsia="宋体" w:hAnsi="宋体" w:cs="宋体"/>
        </w:rPr>
        <w:t>号</w:t>
      </w:r>
      <w:r>
        <w:rPr>
          <w:rFonts w:ascii="宋体" w:eastAsia="宋体" w:hAnsi="宋体" w:cs="宋体"/>
        </w:rPr>
        <w:t>)</w:t>
      </w:r>
      <w:r>
        <w:rPr>
          <w:rFonts w:ascii="宋体" w:eastAsia="宋体" w:hAnsi="宋体" w:cs="宋体"/>
        </w:rPr>
        <w:t>、《关于促进残疾人就业政府采购政策的通知》</w:t>
      </w:r>
      <w:r>
        <w:rPr>
          <w:rFonts w:ascii="宋体" w:eastAsia="宋体" w:hAnsi="宋体" w:cs="宋体"/>
        </w:rPr>
        <w:t>(</w:t>
      </w:r>
      <w:r>
        <w:rPr>
          <w:rFonts w:ascii="宋体" w:eastAsia="宋体" w:hAnsi="宋体" w:cs="宋体"/>
        </w:rPr>
        <w:t>财库〔</w:t>
      </w:r>
      <w:r>
        <w:rPr>
          <w:rFonts w:ascii="宋体" w:eastAsia="宋体" w:hAnsi="宋体" w:cs="宋体"/>
        </w:rPr>
        <w:t>2017</w:t>
      </w:r>
      <w:r>
        <w:rPr>
          <w:rFonts w:ascii="宋体" w:eastAsia="宋体" w:hAnsi="宋体" w:cs="宋体"/>
        </w:rPr>
        <w:t>〕</w:t>
      </w:r>
      <w:r>
        <w:rPr>
          <w:rFonts w:ascii="宋体" w:eastAsia="宋体" w:hAnsi="宋体" w:cs="宋体"/>
        </w:rPr>
        <w:t>141</w:t>
      </w:r>
      <w:r>
        <w:rPr>
          <w:rFonts w:ascii="宋体" w:eastAsia="宋体" w:hAnsi="宋体" w:cs="宋体"/>
        </w:rPr>
        <w:t>号</w:t>
      </w:r>
      <w:r>
        <w:rPr>
          <w:rFonts w:ascii="宋体" w:eastAsia="宋体" w:hAnsi="宋体" w:cs="宋体"/>
        </w:rPr>
        <w:t>)</w:t>
      </w:r>
      <w:r>
        <w:rPr>
          <w:rFonts w:ascii="宋体" w:eastAsia="宋体" w:hAnsi="宋体" w:cs="宋体"/>
        </w:rPr>
        <w:t>等规定条件的供应商，享受预留份额、评审中价格扣除等促进中小企业发展的政府采购政策（监狱企业、残疾人福利性单位属于小型、微型企业的，不重复享受政策）</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本项目采购标的对应的中小企业划分标准所属行业为软件和信息技术服务业。</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3.</w:t>
      </w:r>
      <w:r>
        <w:rPr>
          <w:rFonts w:ascii="宋体" w:eastAsia="宋体" w:hAnsi="宋体" w:cs="宋体"/>
        </w:rPr>
        <w:t>本项目的特定资格要求：无。</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4.</w:t>
      </w:r>
      <w:r>
        <w:rPr>
          <w:rFonts w:ascii="宋体" w:eastAsia="宋体" w:hAnsi="宋体" w:cs="宋体"/>
        </w:rPr>
        <w:t>本项目由符合国家有关法律法规规定、同时满足本项目资质要求、在中国境内的供应商参加投标。</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5.</w:t>
      </w:r>
      <w:r>
        <w:rPr>
          <w:rFonts w:ascii="宋体" w:eastAsia="宋体" w:hAnsi="宋体" w:cs="宋体"/>
        </w:rPr>
        <w:t>对在“信用中国”网站</w:t>
      </w:r>
      <w:r>
        <w:rPr>
          <w:rFonts w:ascii="宋体" w:eastAsia="宋体" w:hAnsi="宋体" w:cs="宋体"/>
        </w:rPr>
        <w:t>&lt;www.creditchina.gov.cn&gt;</w:t>
      </w:r>
      <w:r>
        <w:rPr>
          <w:rFonts w:ascii="宋体" w:eastAsia="宋体" w:hAnsi="宋体" w:cs="宋体"/>
        </w:rPr>
        <w:t>、中国政府采购网</w:t>
      </w:r>
      <w:r>
        <w:rPr>
          <w:rFonts w:ascii="宋体" w:eastAsia="宋体" w:hAnsi="宋体" w:cs="宋体"/>
        </w:rPr>
        <w:t>&lt;www.ccgp.gov.cn&gt;</w:t>
      </w:r>
      <w:r>
        <w:rPr>
          <w:rFonts w:ascii="宋体" w:eastAsia="宋体" w:hAnsi="宋体" w:cs="宋体"/>
        </w:rPr>
        <w:t>等渠道被列入失信被执行人、重大税收违法失信主体、政府采购严重违法失信行为记录名单及其他不符合《中华人民共和国政府采购法》第二十二条规定条件的供应商，不得参与政府采购活动。</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6.</w:t>
      </w:r>
      <w:r>
        <w:rPr>
          <w:rFonts w:ascii="宋体" w:eastAsia="宋体" w:hAnsi="宋体" w:cs="宋体"/>
        </w:rPr>
        <w:t>单位负责人为同一人或者存在直接控股、管理关系的不同供应商，不得参加同一合同项下的政府采购活动。</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7.</w:t>
      </w:r>
      <w:r>
        <w:rPr>
          <w:rFonts w:ascii="宋体" w:eastAsia="宋体" w:hAnsi="宋体" w:cs="宋体"/>
        </w:rPr>
        <w:t>为本项目提供整体设计、规范编制或者项目管理、监理、检测等服务的供应商，不得再参加本次政府采购活动。</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三、获取招标文件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时间：</w:t>
      </w:r>
      <w:r>
        <w:rPr>
          <w:rFonts w:ascii="宋体" w:eastAsia="宋体" w:hAnsi="宋体" w:cs="宋体"/>
          <w:u w:val="single"/>
        </w:rPr>
        <w:t>2023</w:t>
      </w:r>
      <w:r>
        <w:rPr>
          <w:rFonts w:ascii="宋体" w:eastAsia="宋体" w:hAnsi="宋体" w:cs="宋体"/>
          <w:u w:val="single"/>
        </w:rPr>
        <w:t>年</w:t>
      </w:r>
      <w:r>
        <w:rPr>
          <w:rFonts w:ascii="宋体" w:eastAsia="宋体" w:hAnsi="宋体" w:cs="宋体"/>
          <w:u w:val="single"/>
        </w:rPr>
        <w:t xml:space="preserve">1 </w:t>
      </w:r>
      <w:r>
        <w:rPr>
          <w:rFonts w:ascii="宋体" w:eastAsia="宋体" w:hAnsi="宋体" w:cs="宋体"/>
          <w:u w:val="single"/>
        </w:rPr>
        <w:t>月</w:t>
      </w:r>
      <w:r>
        <w:rPr>
          <w:rFonts w:ascii="宋体" w:eastAsia="宋体" w:hAnsi="宋体" w:cs="宋体"/>
          <w:u w:val="single"/>
        </w:rPr>
        <w:t>18</w:t>
      </w:r>
      <w:r>
        <w:rPr>
          <w:rFonts w:ascii="宋体" w:eastAsia="宋体" w:hAnsi="宋体" w:cs="宋体"/>
          <w:u w:val="single"/>
        </w:rPr>
        <w:t>日</w:t>
      </w:r>
      <w:r>
        <w:rPr>
          <w:rFonts w:ascii="宋体" w:eastAsia="宋体" w:hAnsi="宋体" w:cs="宋体"/>
        </w:rPr>
        <w:t>至</w:t>
      </w:r>
      <w:r>
        <w:rPr>
          <w:rFonts w:ascii="宋体" w:eastAsia="宋体" w:hAnsi="宋体" w:cs="宋体"/>
          <w:u w:val="single"/>
        </w:rPr>
        <w:t>2023</w:t>
      </w:r>
      <w:r>
        <w:rPr>
          <w:rFonts w:ascii="宋体" w:eastAsia="宋体" w:hAnsi="宋体" w:cs="宋体"/>
          <w:u w:val="single"/>
        </w:rPr>
        <w:t>年</w:t>
      </w:r>
      <w:r>
        <w:rPr>
          <w:rFonts w:ascii="宋体" w:eastAsia="宋体" w:hAnsi="宋体" w:cs="宋体"/>
          <w:u w:val="single"/>
        </w:rPr>
        <w:t xml:space="preserve">1 </w:t>
      </w:r>
      <w:r>
        <w:rPr>
          <w:rFonts w:ascii="宋体" w:eastAsia="宋体" w:hAnsi="宋体" w:cs="宋体"/>
          <w:u w:val="single"/>
        </w:rPr>
        <w:t>月</w:t>
      </w:r>
      <w:r>
        <w:rPr>
          <w:rFonts w:ascii="宋体" w:eastAsia="宋体" w:hAnsi="宋体" w:cs="宋体"/>
          <w:u w:val="single"/>
        </w:rPr>
        <w:t>30</w:t>
      </w:r>
      <w:r>
        <w:rPr>
          <w:rFonts w:ascii="宋体" w:eastAsia="宋体" w:hAnsi="宋体" w:cs="宋体"/>
          <w:u w:val="single"/>
        </w:rPr>
        <w:t>日</w:t>
      </w:r>
      <w:r>
        <w:rPr>
          <w:rFonts w:ascii="宋体" w:eastAsia="宋体" w:hAnsi="宋体" w:cs="宋体"/>
        </w:rPr>
        <w:t>，每天上午</w:t>
      </w:r>
      <w:r>
        <w:rPr>
          <w:rFonts w:ascii="宋体" w:eastAsia="宋体" w:hAnsi="宋体" w:cs="宋体"/>
          <w:u w:val="single"/>
        </w:rPr>
        <w:t>8</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至</w:t>
      </w:r>
      <w:r>
        <w:rPr>
          <w:rFonts w:ascii="宋体" w:eastAsia="宋体" w:hAnsi="宋体" w:cs="宋体"/>
          <w:u w:val="single"/>
        </w:rPr>
        <w:t>12</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，下午</w:t>
      </w:r>
      <w:r>
        <w:rPr>
          <w:rFonts w:ascii="宋体" w:eastAsia="宋体" w:hAnsi="宋体" w:cs="宋体"/>
          <w:u w:val="single"/>
        </w:rPr>
        <w:t>3</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至</w:t>
      </w:r>
      <w:r>
        <w:rPr>
          <w:rFonts w:ascii="宋体" w:eastAsia="宋体" w:hAnsi="宋体" w:cs="宋体"/>
          <w:u w:val="single"/>
        </w:rPr>
        <w:t>6</w:t>
      </w:r>
      <w:r>
        <w:rPr>
          <w:rFonts w:ascii="宋体" w:eastAsia="宋体" w:hAnsi="宋体" w:cs="宋体"/>
          <w:u w:val="single"/>
        </w:rPr>
        <w:t>时</w:t>
      </w:r>
      <w:r>
        <w:rPr>
          <w:rFonts w:ascii="宋体" w:eastAsia="宋体" w:hAnsi="宋体" w:cs="宋体"/>
          <w:u w:val="single"/>
        </w:rPr>
        <w:t>00</w:t>
      </w:r>
      <w:r>
        <w:rPr>
          <w:rFonts w:ascii="宋体" w:eastAsia="宋体" w:hAnsi="宋体" w:cs="宋体"/>
          <w:u w:val="single"/>
        </w:rPr>
        <w:t>分</w:t>
      </w:r>
      <w:r>
        <w:rPr>
          <w:rFonts w:ascii="宋体" w:eastAsia="宋体" w:hAnsi="宋体" w:cs="宋体"/>
        </w:rPr>
        <w:t>（北京时间，法定节假日除外）</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地点：云之龙咨询集团有限公司（南宁市良庆区云英路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6</w:t>
      </w:r>
      <w:r>
        <w:rPr>
          <w:rFonts w:ascii="宋体" w:eastAsia="宋体" w:hAnsi="宋体" w:cs="宋体"/>
        </w:rPr>
        <w:t>楼）</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方式：招标文件在云之龙咨询集团有限公司（南宁市良庆区云英路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6</w:t>
      </w:r>
      <w:r>
        <w:rPr>
          <w:rFonts w:ascii="宋体" w:eastAsia="宋体" w:hAnsi="宋体" w:cs="宋体"/>
        </w:rPr>
        <w:t>楼）进行售卖，售后不退。如需邮寄，每本另加邮费</w:t>
      </w:r>
      <w:r>
        <w:rPr>
          <w:rFonts w:ascii="宋体" w:eastAsia="宋体" w:hAnsi="宋体" w:cs="宋体"/>
        </w:rPr>
        <w:t>50</w:t>
      </w:r>
      <w:r>
        <w:rPr>
          <w:rFonts w:ascii="宋体" w:eastAsia="宋体" w:hAnsi="宋体" w:cs="宋体"/>
        </w:rPr>
        <w:t>元（邮购文件的，必须于发售截止时间前将工本费及邮费汇到采购代理机构指定账号）。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售价：招标文件每本售价</w:t>
      </w:r>
      <w:r>
        <w:rPr>
          <w:rFonts w:ascii="宋体" w:eastAsia="宋体" w:hAnsi="宋体" w:cs="宋体"/>
        </w:rPr>
        <w:t>300</w:t>
      </w:r>
      <w:r>
        <w:rPr>
          <w:rFonts w:ascii="宋体" w:eastAsia="宋体" w:hAnsi="宋体" w:cs="宋体"/>
        </w:rPr>
        <w:t>元，售后不退。</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采购文件价款交纳银行账户：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开户名称：云之龙咨询集团有限公司</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开户银行：中国银行南宁市民主支行（网银支付可选中国银行股份有限公司南宁分行）</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银行账号：</w:t>
      </w:r>
      <w:r>
        <w:rPr>
          <w:rFonts w:ascii="宋体" w:eastAsia="宋体" w:hAnsi="宋体" w:cs="宋体"/>
        </w:rPr>
        <w:t>623661021638</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开户行行号：</w:t>
      </w:r>
      <w:r>
        <w:rPr>
          <w:rFonts w:ascii="宋体" w:eastAsia="宋体" w:hAnsi="宋体" w:cs="宋体"/>
        </w:rPr>
        <w:t>104611010017</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四、提交投标文件截止时间、开标时间和地点</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w:t>
      </w:r>
      <w:r>
        <w:rPr>
          <w:rFonts w:ascii="宋体" w:eastAsia="宋体" w:hAnsi="宋体" w:cs="宋体"/>
        </w:rPr>
        <w:t>一</w:t>
      </w:r>
      <w:r>
        <w:rPr>
          <w:rFonts w:ascii="宋体" w:eastAsia="宋体" w:hAnsi="宋体" w:cs="宋体"/>
        </w:rPr>
        <w:t>)</w:t>
      </w:r>
      <w:r>
        <w:rPr>
          <w:rFonts w:ascii="宋体" w:eastAsia="宋体" w:hAnsi="宋体" w:cs="宋体"/>
        </w:rPr>
        <w:t>现场递交：为做好疫情防控工作，现场递交投标文件的投标人授权代表或法定代表人需要戴好口罩，做好防疫措施。</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1. </w:t>
      </w:r>
      <w:r>
        <w:rPr>
          <w:rFonts w:ascii="宋体" w:eastAsia="宋体" w:hAnsi="宋体" w:cs="宋体"/>
        </w:rPr>
        <w:t>投标文件递交截止时间：</w:t>
      </w:r>
      <w:r>
        <w:rPr>
          <w:rFonts w:ascii="宋体" w:eastAsia="宋体" w:hAnsi="宋体" w:cs="宋体"/>
        </w:rPr>
        <w:t>2023</w:t>
      </w:r>
      <w:r>
        <w:rPr>
          <w:rFonts w:ascii="宋体" w:eastAsia="宋体" w:hAnsi="宋体" w:cs="宋体"/>
        </w:rPr>
        <w:t>年</w:t>
      </w:r>
      <w:r>
        <w:rPr>
          <w:rFonts w:ascii="宋体" w:eastAsia="宋体" w:hAnsi="宋体" w:cs="宋体"/>
        </w:rPr>
        <w:t>2</w:t>
      </w:r>
      <w:r>
        <w:rPr>
          <w:rFonts w:ascii="宋体" w:eastAsia="宋体" w:hAnsi="宋体" w:cs="宋体"/>
        </w:rPr>
        <w:t>月</w:t>
      </w:r>
      <w:r>
        <w:rPr>
          <w:rFonts w:ascii="宋体" w:eastAsia="宋体" w:hAnsi="宋体" w:cs="宋体"/>
        </w:rPr>
        <w:t>8</w:t>
      </w:r>
      <w:r>
        <w:rPr>
          <w:rFonts w:ascii="宋体" w:eastAsia="宋体" w:hAnsi="宋体" w:cs="宋体"/>
        </w:rPr>
        <w:t>日</w:t>
      </w:r>
      <w:r>
        <w:rPr>
          <w:rFonts w:ascii="宋体" w:eastAsia="宋体" w:hAnsi="宋体" w:cs="宋体"/>
        </w:rPr>
        <w:t>9</w:t>
      </w:r>
      <w:r>
        <w:rPr>
          <w:rFonts w:ascii="宋体" w:eastAsia="宋体" w:hAnsi="宋体" w:cs="宋体"/>
        </w:rPr>
        <w:t>时</w:t>
      </w:r>
      <w:r>
        <w:rPr>
          <w:rFonts w:ascii="宋体" w:eastAsia="宋体" w:hAnsi="宋体" w:cs="宋体"/>
        </w:rPr>
        <w:t>30</w:t>
      </w:r>
      <w:r>
        <w:rPr>
          <w:rFonts w:ascii="宋体" w:eastAsia="宋体" w:hAnsi="宋体" w:cs="宋体"/>
        </w:rPr>
        <w:t>分</w:t>
      </w:r>
      <w:r>
        <w:rPr>
          <w:rFonts w:ascii="宋体" w:eastAsia="宋体" w:hAnsi="宋体" w:cs="宋体"/>
        </w:rPr>
        <w:t>00</w:t>
      </w:r>
      <w:r>
        <w:rPr>
          <w:rFonts w:ascii="宋体" w:eastAsia="宋体" w:hAnsi="宋体" w:cs="宋体"/>
        </w:rPr>
        <w:t>秒。</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2. </w:t>
      </w:r>
      <w:r>
        <w:rPr>
          <w:rFonts w:ascii="宋体" w:eastAsia="宋体" w:hAnsi="宋体" w:cs="宋体"/>
        </w:rPr>
        <w:t>投标文件递交起止时间：</w:t>
      </w:r>
      <w:r>
        <w:rPr>
          <w:rFonts w:ascii="宋体" w:eastAsia="宋体" w:hAnsi="宋体" w:cs="宋体"/>
        </w:rPr>
        <w:t>2023</w:t>
      </w:r>
      <w:r>
        <w:rPr>
          <w:rFonts w:ascii="宋体" w:eastAsia="宋体" w:hAnsi="宋体" w:cs="宋体"/>
        </w:rPr>
        <w:t>年</w:t>
      </w:r>
      <w:r>
        <w:rPr>
          <w:rFonts w:ascii="宋体" w:eastAsia="宋体" w:hAnsi="宋体" w:cs="宋体"/>
        </w:rPr>
        <w:t xml:space="preserve">2 </w:t>
      </w:r>
      <w:r>
        <w:rPr>
          <w:rFonts w:ascii="宋体" w:eastAsia="宋体" w:hAnsi="宋体" w:cs="宋体"/>
        </w:rPr>
        <w:t>月</w:t>
      </w:r>
      <w:r>
        <w:rPr>
          <w:rFonts w:ascii="宋体" w:eastAsia="宋体" w:hAnsi="宋体" w:cs="宋体"/>
        </w:rPr>
        <w:t>8</w:t>
      </w:r>
      <w:r>
        <w:rPr>
          <w:rFonts w:ascii="宋体" w:eastAsia="宋体" w:hAnsi="宋体" w:cs="宋体"/>
        </w:rPr>
        <w:t>日</w:t>
      </w:r>
      <w:r>
        <w:rPr>
          <w:rFonts w:ascii="宋体" w:eastAsia="宋体" w:hAnsi="宋体" w:cs="宋体"/>
        </w:rPr>
        <w:t>8</w:t>
      </w:r>
      <w:r>
        <w:rPr>
          <w:rFonts w:ascii="宋体" w:eastAsia="宋体" w:hAnsi="宋体" w:cs="宋体"/>
        </w:rPr>
        <w:t>时</w:t>
      </w:r>
      <w:r>
        <w:rPr>
          <w:rFonts w:ascii="宋体" w:eastAsia="宋体" w:hAnsi="宋体" w:cs="宋体"/>
        </w:rPr>
        <w:t>30</w:t>
      </w:r>
      <w:r>
        <w:rPr>
          <w:rFonts w:ascii="宋体" w:eastAsia="宋体" w:hAnsi="宋体" w:cs="宋体"/>
        </w:rPr>
        <w:t>分</w:t>
      </w:r>
      <w:r>
        <w:rPr>
          <w:rFonts w:ascii="宋体" w:eastAsia="宋体" w:hAnsi="宋体" w:cs="宋体"/>
        </w:rPr>
        <w:t>00</w:t>
      </w:r>
      <w:r>
        <w:rPr>
          <w:rFonts w:ascii="宋体" w:eastAsia="宋体" w:hAnsi="宋体" w:cs="宋体"/>
        </w:rPr>
        <w:t>秒至</w:t>
      </w:r>
      <w:r>
        <w:rPr>
          <w:rFonts w:ascii="宋体" w:eastAsia="宋体" w:hAnsi="宋体" w:cs="宋体"/>
        </w:rPr>
        <w:t>9</w:t>
      </w:r>
      <w:r>
        <w:rPr>
          <w:rFonts w:ascii="宋体" w:eastAsia="宋体" w:hAnsi="宋体" w:cs="宋体"/>
        </w:rPr>
        <w:t>时</w:t>
      </w:r>
      <w:r>
        <w:rPr>
          <w:rFonts w:ascii="宋体" w:eastAsia="宋体" w:hAnsi="宋体" w:cs="宋体"/>
        </w:rPr>
        <w:t>30</w:t>
      </w:r>
      <w:r>
        <w:rPr>
          <w:rFonts w:ascii="宋体" w:eastAsia="宋体" w:hAnsi="宋体" w:cs="宋体"/>
        </w:rPr>
        <w:t>分</w:t>
      </w:r>
      <w:r>
        <w:rPr>
          <w:rFonts w:ascii="宋体" w:eastAsia="宋体" w:hAnsi="宋体" w:cs="宋体"/>
        </w:rPr>
        <w:t>00</w:t>
      </w:r>
      <w:r>
        <w:rPr>
          <w:rFonts w:ascii="宋体" w:eastAsia="宋体" w:hAnsi="宋体" w:cs="宋体"/>
        </w:rPr>
        <w:t>秒。</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3.</w:t>
      </w:r>
      <w:r>
        <w:rPr>
          <w:rFonts w:ascii="宋体" w:eastAsia="宋体" w:hAnsi="宋体" w:cs="宋体"/>
        </w:rPr>
        <w:t>地点：云之龙咨询集团有限公司（广西南宁市良庆区云英路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4</w:t>
      </w:r>
      <w:r>
        <w:rPr>
          <w:rFonts w:ascii="宋体" w:eastAsia="宋体" w:hAnsi="宋体" w:cs="宋体"/>
        </w:rPr>
        <w:t>楼</w:t>
      </w:r>
      <w:r>
        <w:rPr>
          <w:rFonts w:ascii="宋体" w:eastAsia="宋体" w:hAnsi="宋体" w:cs="宋体"/>
        </w:rPr>
        <w:t>,</w:t>
      </w:r>
      <w:r>
        <w:rPr>
          <w:rFonts w:ascii="宋体" w:eastAsia="宋体" w:hAnsi="宋体" w:cs="宋体"/>
        </w:rPr>
        <w:t>具体详见</w:t>
      </w:r>
      <w:r>
        <w:rPr>
          <w:rFonts w:ascii="宋体" w:eastAsia="宋体" w:hAnsi="宋体" w:cs="宋体"/>
        </w:rPr>
        <w:t>LED</w:t>
      </w:r>
      <w:r>
        <w:rPr>
          <w:rFonts w:ascii="宋体" w:eastAsia="宋体" w:hAnsi="宋体" w:cs="宋体"/>
        </w:rPr>
        <w:t>屏幕）；未按照招标文件要求密封的投标文件，将予以拒收。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4.</w:t>
      </w:r>
      <w:r>
        <w:rPr>
          <w:rFonts w:ascii="宋体" w:eastAsia="宋体" w:hAnsi="宋体" w:cs="宋体"/>
        </w:rPr>
        <w:t>投标人应在投标文件递交截止时间前，将投标文件密封送达投标地点，未在规定时间内送达或未按照招标文件要求密封的投标文件，将予以拒收。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（二）邮寄递交：</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投标人可以将本项目的投标文件通过邮寄快递的方式送达。具体要求如下：</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投标文件必须在投标截止时间前送达。采购代理机构工作人员签收邮寄包裹的时间即为投标人投标文件的送达时间，逾期送达的投标文件无效，后果由投标人自行承担。</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2. </w:t>
      </w:r>
      <w:r>
        <w:rPr>
          <w:rFonts w:ascii="宋体" w:eastAsia="宋体" w:hAnsi="宋体" w:cs="宋体"/>
        </w:rPr>
        <w:t>投标人应充分预留投标文件邮寄、送达所需要的时间。为确保疫情防控期间邮寄包裹能及时送达，投标人应选择邮寄运送时间有保障的快递公司寄送投标文件。</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 xml:space="preserve">3. </w:t>
      </w:r>
      <w:r>
        <w:rPr>
          <w:rFonts w:ascii="宋体" w:eastAsia="宋体" w:hAnsi="宋体" w:cs="宋体"/>
        </w:rPr>
        <w:t>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4.</w:t>
      </w:r>
      <w:r>
        <w:rPr>
          <w:rFonts w:ascii="宋体" w:eastAsia="宋体" w:hAnsi="宋体" w:cs="宋体"/>
        </w:rPr>
        <w:t>投标文件邮寄地址：广西南宁市良庆区云英路</w:t>
      </w:r>
      <w:r>
        <w:rPr>
          <w:rFonts w:ascii="宋体" w:eastAsia="宋体" w:hAnsi="宋体" w:cs="宋体"/>
        </w:rPr>
        <w:t>15</w:t>
      </w:r>
      <w:r>
        <w:rPr>
          <w:rFonts w:ascii="宋体" w:eastAsia="宋体" w:hAnsi="宋体" w:cs="宋体"/>
        </w:rPr>
        <w:t>号</w:t>
      </w:r>
      <w:r>
        <w:rPr>
          <w:rFonts w:ascii="宋体" w:eastAsia="宋体" w:hAnsi="宋体" w:cs="宋体"/>
        </w:rPr>
        <w:t>3</w:t>
      </w:r>
      <w:r>
        <w:rPr>
          <w:rFonts w:ascii="宋体" w:eastAsia="宋体" w:hAnsi="宋体" w:cs="宋体"/>
        </w:rPr>
        <w:t>号楼云之龙咨询集团大厦</w:t>
      </w:r>
      <w:r>
        <w:rPr>
          <w:rFonts w:ascii="宋体" w:eastAsia="宋体" w:hAnsi="宋体" w:cs="宋体"/>
        </w:rPr>
        <w:t>6</w:t>
      </w:r>
      <w:r>
        <w:rPr>
          <w:rFonts w:ascii="宋体" w:eastAsia="宋体" w:hAnsi="宋体" w:cs="宋体"/>
        </w:rPr>
        <w:t>楼云之龙咨询集团有限公司，收件人：黎怡瑾</w:t>
      </w:r>
      <w:r>
        <w:rPr>
          <w:rFonts w:ascii="宋体" w:eastAsia="宋体" w:hAnsi="宋体" w:cs="宋体"/>
        </w:rPr>
        <w:t>/</w:t>
      </w:r>
      <w:r>
        <w:rPr>
          <w:rFonts w:ascii="宋体" w:eastAsia="宋体" w:hAnsi="宋体" w:cs="宋体"/>
        </w:rPr>
        <w:t>王程龙，联系电话：</w:t>
      </w:r>
      <w:r>
        <w:rPr>
          <w:rFonts w:ascii="宋体" w:eastAsia="宋体" w:hAnsi="宋体" w:cs="宋体"/>
        </w:rPr>
        <w:t>18076615611</w:t>
      </w:r>
      <w:r>
        <w:rPr>
          <w:rFonts w:ascii="宋体" w:eastAsia="宋体" w:hAnsi="宋体" w:cs="宋体"/>
        </w:rPr>
        <w:t>。</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5.</w:t>
      </w:r>
      <w:r>
        <w:rPr>
          <w:rFonts w:ascii="宋体" w:eastAsia="宋体" w:hAnsi="宋体" w:cs="宋体"/>
        </w:rPr>
        <w:t>投标文件邮寄接收时间：自招标公告发布之时起至投标截止时间止的正常工作时间，正常工作时间是指每天</w:t>
      </w:r>
      <w:r>
        <w:rPr>
          <w:rFonts w:ascii="宋体" w:eastAsia="宋体" w:hAnsi="宋体" w:cs="宋体"/>
        </w:rPr>
        <w:t>8:00-12:00</w:t>
      </w:r>
      <w:r>
        <w:rPr>
          <w:rFonts w:ascii="宋体" w:eastAsia="宋体" w:hAnsi="宋体" w:cs="宋体"/>
        </w:rPr>
        <w:t>，</w:t>
      </w:r>
      <w:r>
        <w:rPr>
          <w:rFonts w:ascii="宋体" w:eastAsia="宋体" w:hAnsi="宋体" w:cs="宋体"/>
        </w:rPr>
        <w:t>15:00-18:00</w:t>
      </w:r>
      <w:r>
        <w:rPr>
          <w:rFonts w:ascii="宋体" w:eastAsia="宋体" w:hAnsi="宋体" w:cs="宋体"/>
        </w:rPr>
        <w:t>，双休日和法定节假日不接收投标文件。</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五、公告期限</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自本公告发布之日起</w:t>
      </w:r>
      <w:r>
        <w:rPr>
          <w:rFonts w:ascii="宋体" w:eastAsia="宋体" w:hAnsi="宋体" w:cs="宋体"/>
        </w:rPr>
        <w:t>5</w:t>
      </w:r>
      <w:r>
        <w:rPr>
          <w:rFonts w:ascii="宋体" w:eastAsia="宋体" w:hAnsi="宋体" w:cs="宋体"/>
        </w:rPr>
        <w:t>个工作日。</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六、其他补充事宜</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公告媒体：本招标公告在中国政府采购网（</w:t>
      </w:r>
      <w:r>
        <w:rPr>
          <w:rFonts w:ascii="宋体" w:eastAsia="宋体" w:hAnsi="宋体" w:cs="宋体"/>
        </w:rPr>
        <w:t>http://www.ccgp.gov.cn</w:t>
      </w:r>
      <w:r>
        <w:rPr>
          <w:rFonts w:ascii="宋体" w:eastAsia="宋体" w:hAnsi="宋体" w:cs="宋体"/>
        </w:rPr>
        <w:t>）、国家税务总局广西壮族自治区税务局网（</w:t>
      </w:r>
      <w:r>
        <w:rPr>
          <w:rFonts w:ascii="宋体" w:eastAsia="宋体" w:hAnsi="宋体" w:cs="宋体"/>
        </w:rPr>
        <w:t>http://guangxi.chinatax.gov.cn/</w:t>
      </w:r>
      <w:r>
        <w:rPr>
          <w:rFonts w:ascii="宋体" w:eastAsia="宋体" w:hAnsi="宋体" w:cs="宋体"/>
        </w:rPr>
        <w:t>）、云之龙集团网（</w:t>
      </w:r>
      <w:r>
        <w:rPr>
          <w:rFonts w:ascii="宋体" w:eastAsia="宋体" w:hAnsi="宋体" w:cs="宋体"/>
        </w:rPr>
        <w:t>www.yzljt.cn</w:t>
      </w:r>
      <w:r>
        <w:rPr>
          <w:rFonts w:ascii="宋体" w:eastAsia="宋体" w:hAnsi="宋体" w:cs="宋体"/>
        </w:rPr>
        <w:t>）上发布。</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2.</w:t>
      </w:r>
      <w:r>
        <w:rPr>
          <w:rFonts w:ascii="宋体" w:eastAsia="宋体" w:hAnsi="宋体" w:cs="宋体"/>
        </w:rPr>
        <w:t>本项目需要落实的政府采购支持节能环保、中小企业、监狱企业、残疾人福利性单位等政策：（</w:t>
      </w:r>
      <w:r>
        <w:rPr>
          <w:rFonts w:ascii="宋体" w:eastAsia="宋体" w:hAnsi="宋体" w:cs="宋体"/>
        </w:rPr>
        <w:t>1</w:t>
      </w:r>
      <w:r>
        <w:rPr>
          <w:rFonts w:ascii="宋体" w:eastAsia="宋体" w:hAnsi="宋体" w:cs="宋体"/>
        </w:rPr>
        <w:t>）政府采购促进中小企业发展。（</w:t>
      </w:r>
      <w:r>
        <w:rPr>
          <w:rFonts w:ascii="宋体" w:eastAsia="宋体" w:hAnsi="宋体" w:cs="宋体"/>
        </w:rPr>
        <w:t>2</w:t>
      </w:r>
      <w:r>
        <w:rPr>
          <w:rFonts w:ascii="宋体" w:eastAsia="宋体" w:hAnsi="宋体" w:cs="宋体"/>
        </w:rPr>
        <w:t>）政府采购促进残疾人就业政策。（</w:t>
      </w:r>
      <w:r>
        <w:rPr>
          <w:rFonts w:ascii="宋体" w:eastAsia="宋体" w:hAnsi="宋体" w:cs="宋体"/>
        </w:rPr>
        <w:t>3</w:t>
      </w:r>
      <w:r>
        <w:rPr>
          <w:rFonts w:ascii="宋体" w:eastAsia="宋体" w:hAnsi="宋体" w:cs="宋体"/>
        </w:rPr>
        <w:t>）政府采购支持监狱企业发展。</w:t>
      </w:r>
    </w:p>
    <w:p>
      <w:pPr>
        <w:pStyle w:val="MsoNormal"/>
        <w:spacing w:before="240" w:after="240" w:line="480" w:lineRule="atLeast"/>
        <w:rPr>
          <w:rFonts w:ascii="Times New Roman" w:eastAsia="Times New Roman" w:hAnsi="Times New Roman" w:cs="Times New Roman"/>
        </w:rPr>
      </w:pPr>
      <w:r>
        <w:rPr>
          <w:rFonts w:ascii="宋体" w:eastAsia="宋体" w:hAnsi="宋体" w:cs="宋体"/>
        </w:rPr>
        <w:t>七、对本次招标提出询问，请按以下方式联系。</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1.</w:t>
      </w:r>
      <w:r>
        <w:rPr>
          <w:rFonts w:ascii="宋体" w:eastAsia="宋体" w:hAnsi="宋体" w:cs="宋体"/>
        </w:rPr>
        <w:t>采购人信息</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名 称：</w:t>
      </w:r>
      <w:r>
        <w:rPr>
          <w:rFonts w:ascii="宋体" w:eastAsia="宋体" w:hAnsi="宋体" w:cs="宋体"/>
          <w:u w:val="single"/>
        </w:rPr>
        <w:t>国家税务总局广西壮族自治区税务局</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地址：</w:t>
      </w:r>
      <w:r>
        <w:rPr>
          <w:rFonts w:ascii="宋体" w:eastAsia="宋体" w:hAnsi="宋体" w:cs="宋体"/>
          <w:u w:val="single"/>
        </w:rPr>
        <w:t>广西南宁市青秀区民族大道</w:t>
      </w:r>
      <w:r>
        <w:rPr>
          <w:rFonts w:ascii="宋体" w:eastAsia="宋体" w:hAnsi="宋体" w:cs="宋体"/>
          <w:u w:val="single"/>
        </w:rPr>
        <w:t>105</w:t>
      </w:r>
      <w:r>
        <w:rPr>
          <w:rFonts w:ascii="宋体" w:eastAsia="宋体" w:hAnsi="宋体" w:cs="宋体"/>
          <w:u w:val="single"/>
        </w:rPr>
        <w:t>号</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联系方式：</w:t>
      </w:r>
      <w:r>
        <w:rPr>
          <w:rFonts w:ascii="宋体" w:eastAsia="宋体" w:hAnsi="宋体" w:cs="宋体"/>
          <w:u w:val="single"/>
        </w:rPr>
        <w:t>宁 冰</w:t>
      </w:r>
      <w:r>
        <w:rPr>
          <w:rFonts w:ascii="宋体" w:eastAsia="宋体" w:hAnsi="宋体" w:cs="宋体"/>
          <w:u w:val="single"/>
        </w:rPr>
        <w:t xml:space="preserve"> 0771-5562212</w:t>
      </w:r>
      <w:r>
        <w:rPr>
          <w:rFonts w:ascii="宋体" w:eastAsia="宋体" w:hAnsi="宋体" w:cs="宋体"/>
          <w:u w:val="single"/>
        </w:rPr>
        <w:t>，蓝 俊</w:t>
      </w:r>
      <w:r>
        <w:rPr>
          <w:rFonts w:ascii="宋体" w:eastAsia="宋体" w:hAnsi="宋体" w:cs="宋体"/>
          <w:u w:val="single"/>
        </w:rPr>
        <w:t xml:space="preserve"> 0771-5850740</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2.</w:t>
      </w:r>
      <w:r>
        <w:rPr>
          <w:rFonts w:ascii="宋体" w:eastAsia="宋体" w:hAnsi="宋体" w:cs="宋体"/>
        </w:rPr>
        <w:t>采购代理机构信息</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名 称：</w:t>
      </w:r>
      <w:r>
        <w:rPr>
          <w:rFonts w:ascii="宋体" w:eastAsia="宋体" w:hAnsi="宋体" w:cs="宋体"/>
          <w:u w:val="single"/>
        </w:rPr>
        <w:t>云之龙咨询集团有限公司</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地 址：</w:t>
      </w:r>
      <w:r>
        <w:rPr>
          <w:rFonts w:ascii="宋体" w:eastAsia="宋体" w:hAnsi="宋体" w:cs="宋体"/>
          <w:u w:val="single"/>
        </w:rPr>
        <w:t>南宁市良庆区云英路</w:t>
      </w:r>
      <w:r>
        <w:rPr>
          <w:rFonts w:ascii="宋体" w:eastAsia="宋体" w:hAnsi="宋体" w:cs="宋体"/>
          <w:u w:val="single"/>
        </w:rPr>
        <w:t>15</w:t>
      </w:r>
      <w:r>
        <w:rPr>
          <w:rFonts w:ascii="宋体" w:eastAsia="宋体" w:hAnsi="宋体" w:cs="宋体"/>
          <w:u w:val="single"/>
        </w:rPr>
        <w:t>号</w:t>
      </w:r>
      <w:r>
        <w:rPr>
          <w:rFonts w:ascii="宋体" w:eastAsia="宋体" w:hAnsi="宋体" w:cs="宋体"/>
          <w:u w:val="single"/>
        </w:rPr>
        <w:t>3</w:t>
      </w:r>
      <w:r>
        <w:rPr>
          <w:rFonts w:ascii="宋体" w:eastAsia="宋体" w:hAnsi="宋体" w:cs="宋体"/>
          <w:u w:val="single"/>
        </w:rPr>
        <w:t>号楼云之龙咨询集团大厦</w:t>
      </w:r>
      <w:r>
        <w:rPr>
          <w:rFonts w:ascii="宋体" w:eastAsia="宋体" w:hAnsi="宋体" w:cs="宋体"/>
          <w:u w:val="single"/>
        </w:rPr>
        <w:t>6</w:t>
      </w:r>
      <w:r>
        <w:rPr>
          <w:rFonts w:ascii="宋体" w:eastAsia="宋体" w:hAnsi="宋体" w:cs="宋体"/>
          <w:u w:val="single"/>
        </w:rPr>
        <w:t>楼</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联系方式：</w:t>
      </w:r>
      <w:r>
        <w:rPr>
          <w:rFonts w:ascii="宋体" w:eastAsia="宋体" w:hAnsi="宋体" w:cs="宋体"/>
          <w:u w:val="single"/>
        </w:rPr>
        <w:t>李鸿海、梁华隆</w:t>
      </w:r>
      <w:r>
        <w:rPr>
          <w:rFonts w:ascii="宋体" w:eastAsia="宋体" w:hAnsi="宋体" w:cs="宋体"/>
          <w:u w:val="single"/>
        </w:rPr>
        <w:t xml:space="preserve"> 0771-2618199</w:t>
      </w:r>
      <w:r>
        <w:rPr>
          <w:rFonts w:ascii="宋体" w:eastAsia="宋体" w:hAnsi="宋体" w:cs="宋体"/>
          <w:u w:val="single"/>
        </w:rPr>
        <w:t>、</w:t>
      </w:r>
      <w:r>
        <w:rPr>
          <w:rFonts w:ascii="宋体" w:eastAsia="宋体" w:hAnsi="宋体" w:cs="宋体"/>
          <w:u w:val="single"/>
        </w:rPr>
        <w:t>2618118</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3.</w:t>
      </w:r>
      <w:r>
        <w:rPr>
          <w:rFonts w:ascii="宋体" w:eastAsia="宋体" w:hAnsi="宋体" w:cs="宋体"/>
        </w:rPr>
        <w:t>项目联系方式</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项目联系人：</w:t>
      </w:r>
      <w:r>
        <w:rPr>
          <w:rFonts w:ascii="宋体" w:eastAsia="宋体" w:hAnsi="宋体" w:cs="宋体"/>
          <w:u w:val="single"/>
        </w:rPr>
        <w:t>李鸿海、梁华隆</w:t>
      </w:r>
    </w:p>
    <w:p>
      <w:pPr>
        <w:pStyle w:val="MsoNormal"/>
        <w:spacing w:before="240" w:after="240" w:line="480" w:lineRule="atLeast"/>
        <w:ind w:firstLine="480"/>
        <w:rPr>
          <w:rFonts w:ascii="Times New Roman" w:eastAsia="Times New Roman" w:hAnsi="Times New Roman" w:cs="Times New Roman"/>
        </w:rPr>
      </w:pPr>
      <w:r>
        <w:rPr>
          <w:rFonts w:ascii="宋体" w:eastAsia="宋体" w:hAnsi="宋体" w:cs="宋体"/>
        </w:rPr>
        <w:t>电 话：</w:t>
      </w:r>
      <w:r>
        <w:rPr>
          <w:rFonts w:ascii="宋体" w:eastAsia="宋体" w:hAnsi="宋体" w:cs="宋体"/>
          <w:u w:val="single"/>
        </w:rPr>
        <w:t>0771-2618199</w:t>
      </w:r>
      <w:r>
        <w:rPr>
          <w:rFonts w:ascii="宋体" w:eastAsia="宋体" w:hAnsi="宋体" w:cs="宋体"/>
          <w:u w:val="single"/>
        </w:rPr>
        <w:t>、</w:t>
      </w:r>
      <w:r>
        <w:rPr>
          <w:rFonts w:ascii="宋体" w:eastAsia="宋体" w:hAnsi="宋体" w:cs="宋体"/>
          <w:u w:val="single"/>
        </w:rPr>
        <w:t>2618118</w:t>
      </w:r>
    </w:p>
    <w:p w:rsidR="00A77B3E"/>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Normal">
    <w:name w:val="MsoNormal"/>
    <w:basedOn w:val="Normal"/>
  </w:style>
  <w:style w:type="table" w:customStyle="1" w:styleId="MsoNormalTable">
    <w:name w:val="MsoNorm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