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600" w:lineRule="exact"/>
        <w:ind w:left="0" w:right="0"/>
        <w:jc w:val="left"/>
        <w:textAlignment w:val="auto"/>
        <w:rPr>
          <w:rFonts w:hint="eastAsia" w:ascii="黑体" w:hAnsi="黑体" w:eastAsia="黑体" w:cs="黑体"/>
          <w:b w:val="0"/>
          <w:bCs/>
          <w:color w:val="333333"/>
          <w:kern w:val="0"/>
          <w:sz w:val="32"/>
          <w:szCs w:val="32"/>
          <w:lang w:val="en-US" w:eastAsia="zh-CN" w:bidi="ar"/>
        </w:rPr>
      </w:pPr>
      <w:r>
        <w:rPr>
          <w:rFonts w:hint="eastAsia" w:ascii="黑体" w:hAnsi="黑体" w:eastAsia="黑体" w:cs="黑体"/>
          <w:b w:val="0"/>
          <w:bCs/>
          <w:color w:val="333333"/>
          <w:kern w:val="0"/>
          <w:sz w:val="32"/>
          <w:szCs w:val="32"/>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600" w:lineRule="exact"/>
        <w:ind w:left="0" w:right="0"/>
        <w:jc w:val="center"/>
        <w:textAlignment w:val="auto"/>
        <w:rPr>
          <w:rFonts w:hint="eastAsia" w:ascii="方正小标宋简体" w:hAnsi="方正小标宋简体" w:eastAsia="方正小标宋简体" w:cs="方正小标宋简体"/>
          <w:b w:val="0"/>
          <w:bCs/>
          <w:color w:val="333333"/>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600" w:lineRule="exact"/>
        <w:ind w:left="0" w:right="0"/>
        <w:jc w:val="center"/>
        <w:textAlignment w:val="auto"/>
        <w:rPr>
          <w:rFonts w:hint="eastAsia" w:ascii="方正小标宋简体" w:hAnsi="方正小标宋简体" w:eastAsia="方正小标宋简体" w:cs="方正小标宋简体"/>
          <w:b w:val="0"/>
          <w:bCs/>
          <w:color w:val="333333"/>
          <w:kern w:val="0"/>
          <w:sz w:val="44"/>
          <w:szCs w:val="44"/>
          <w:lang w:val="en-US" w:eastAsia="zh-CN" w:bidi="ar"/>
        </w:rPr>
      </w:pPr>
      <w:r>
        <w:rPr>
          <w:rFonts w:hint="eastAsia" w:ascii="方正小标宋简体" w:hAnsi="方正小标宋简体" w:eastAsia="方正小标宋简体" w:cs="方正小标宋简体"/>
          <w:b w:val="0"/>
          <w:bCs/>
          <w:color w:val="333333"/>
          <w:kern w:val="0"/>
          <w:sz w:val="44"/>
          <w:szCs w:val="44"/>
          <w:lang w:val="en-US" w:eastAsia="zh-CN" w:bidi="ar"/>
        </w:rPr>
        <w:t xml:space="preserve">关于《国家税务总局广东省税务局 国家税务总局河南省税务局 国家税务总局湖北省税务局 国家税务总局湖南省税务局 国家税务总局广西壮族自治区税务局 国家税务总局海南省税务局 国家税务总局深圳市税务局关于修订发布〈中南区域税务行政处罚裁量基准〉的公告（征求意见稿）》的说明 </w:t>
      </w:r>
    </w:p>
    <w:p>
      <w:pPr>
        <w:pStyle w:val="4"/>
        <w:keepNext w:val="0"/>
        <w:keepLines w:val="0"/>
        <w:widowControl/>
        <w:suppressLineNumbers w:val="0"/>
        <w:spacing w:before="0" w:beforeAutospacing="0" w:after="226" w:afterAutospacing="0" w:line="30" w:lineRule="atLeast"/>
        <w:ind w:left="0" w:right="0" w:firstLine="420"/>
        <w:jc w:val="both"/>
        <w:rPr>
          <w:rFonts w:ascii="微软雅黑" w:hAnsi="微软雅黑" w:eastAsia="微软雅黑" w:cs="微软雅黑"/>
          <w:color w:val="333333"/>
          <w:sz w:val="24"/>
          <w:szCs w:val="24"/>
        </w:rPr>
      </w:pP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黑体" w:hAnsi="黑体" w:eastAsia="黑体" w:cs="黑体"/>
          <w:b w:val="0"/>
          <w:bCs/>
          <w:color w:val="auto"/>
          <w:sz w:val="30"/>
          <w:szCs w:val="30"/>
          <w:lang w:eastAsia="zh-CN"/>
        </w:rPr>
      </w:pPr>
      <w:r>
        <w:rPr>
          <w:rFonts w:hint="eastAsia" w:ascii="黑体" w:hAnsi="黑体" w:eastAsia="黑体" w:cs="黑体"/>
          <w:b w:val="0"/>
          <w:bCs/>
          <w:color w:val="auto"/>
          <w:sz w:val="32"/>
          <w:szCs w:val="32"/>
        </w:rPr>
        <w:t>一、</w:t>
      </w:r>
      <w:r>
        <w:rPr>
          <w:rFonts w:hint="eastAsia" w:ascii="黑体" w:hAnsi="黑体" w:eastAsia="黑体" w:cs="黑体"/>
          <w:b w:val="0"/>
          <w:bCs/>
          <w:color w:val="auto"/>
          <w:sz w:val="32"/>
          <w:szCs w:val="32"/>
          <w:lang w:val="en-US" w:eastAsia="zh-CN"/>
        </w:rPr>
        <w:t>修订</w:t>
      </w:r>
      <w:r>
        <w:rPr>
          <w:rFonts w:hint="eastAsia" w:ascii="黑体" w:hAnsi="黑体" w:eastAsia="黑体" w:cs="黑体"/>
          <w:b w:val="0"/>
          <w:bCs/>
          <w:color w:val="auto"/>
          <w:sz w:val="32"/>
          <w:szCs w:val="32"/>
        </w:rPr>
        <w:t>背景</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Times New Roman" w:eastAsia="仿宋_GB2312"/>
          <w:color w:val="000000"/>
          <w:sz w:val="32"/>
          <w:szCs w:val="32"/>
        </w:rPr>
        <w:t>为深入贯彻习近平法治思想，全面落实中共中央办公厅、国务院办公厅《关于进一步深化税收征管改革的意见》和《国务院办公厅关于进一步规范行政裁量权基准制定和管理工作的意见》（国办发〔2022〕27号），</w:t>
      </w:r>
      <w:r>
        <w:rPr>
          <w:rFonts w:hint="eastAsia" w:ascii="仿宋_GB2312" w:hAnsi="仿宋_GB2312" w:eastAsia="仿宋_GB2312" w:cs="仿宋_GB2312"/>
          <w:color w:val="auto"/>
          <w:sz w:val="32"/>
          <w:szCs w:val="32"/>
        </w:rPr>
        <w:t>更好地适应税收征管实践新变化，</w:t>
      </w:r>
      <w:r>
        <w:rPr>
          <w:rFonts w:hint="eastAsia" w:ascii="仿宋_GB2312" w:hAnsi="仿宋_GB2312" w:eastAsia="仿宋_GB2312" w:cs="仿宋_GB2312"/>
          <w:color w:val="auto"/>
          <w:sz w:val="32"/>
          <w:szCs w:val="32"/>
          <w:lang w:val="en-US" w:eastAsia="zh-CN"/>
        </w:rPr>
        <w:t>不断</w:t>
      </w:r>
      <w:r>
        <w:rPr>
          <w:rFonts w:hint="eastAsia" w:ascii="仿宋_GB2312" w:hAnsi="仿宋_GB2312" w:eastAsia="仿宋_GB2312" w:cs="仿宋_GB2312"/>
          <w:color w:val="auto"/>
          <w:sz w:val="32"/>
          <w:szCs w:val="32"/>
        </w:rPr>
        <w:t>优化税务行政处罚裁量</w:t>
      </w:r>
      <w:r>
        <w:rPr>
          <w:rFonts w:hint="eastAsia" w:ascii="仿宋_GB2312" w:hAnsi="仿宋_GB2312" w:eastAsia="仿宋_GB2312" w:cs="仿宋_GB2312"/>
          <w:color w:val="auto"/>
          <w:sz w:val="32"/>
          <w:szCs w:val="32"/>
          <w:lang w:val="en-US" w:eastAsia="zh-CN"/>
        </w:rPr>
        <w:t>权行使</w:t>
      </w:r>
      <w:r>
        <w:rPr>
          <w:rFonts w:hint="eastAsia" w:ascii="仿宋_GB2312" w:hAnsi="仿宋_GB2312" w:eastAsia="仿宋_GB2312" w:cs="仿宋_GB2312"/>
          <w:color w:val="auto"/>
          <w:sz w:val="32"/>
          <w:szCs w:val="32"/>
        </w:rPr>
        <w:t>，进一步规范和优化税务执法，营造</w:t>
      </w:r>
      <w:r>
        <w:rPr>
          <w:rFonts w:hint="eastAsia" w:ascii="仿宋_GB2312" w:hAnsi="仿宋_GB2312" w:eastAsia="仿宋_GB2312" w:cs="仿宋_GB2312"/>
          <w:color w:val="auto"/>
          <w:sz w:val="32"/>
          <w:szCs w:val="32"/>
          <w:lang w:val="en-US" w:eastAsia="zh-CN"/>
        </w:rPr>
        <w:t>法治公平</w:t>
      </w:r>
      <w:r>
        <w:rPr>
          <w:rFonts w:hint="eastAsia" w:ascii="仿宋_GB2312" w:hAnsi="仿宋_GB2312" w:eastAsia="仿宋_GB2312" w:cs="仿宋_GB2312"/>
          <w:color w:val="auto"/>
          <w:sz w:val="32"/>
          <w:szCs w:val="32"/>
        </w:rPr>
        <w:t>的税收营商环境，</w:t>
      </w:r>
      <w:r>
        <w:rPr>
          <w:rFonts w:hint="eastAsia" w:eastAsia="仿宋_GB2312"/>
          <w:color w:val="000000"/>
          <w:sz w:val="32"/>
          <w:szCs w:val="32"/>
          <w:lang w:eastAsia="zh-CN"/>
        </w:rPr>
        <w:t>结合中南区域税务执法实践发展需要以及</w:t>
      </w:r>
      <w:r>
        <w:rPr>
          <w:rFonts w:hint="eastAsia" w:ascii="仿宋_GB2312" w:hAnsi="仿宋_GB2312" w:eastAsia="仿宋_GB2312" w:cs="仿宋_GB2312"/>
          <w:sz w:val="32"/>
          <w:szCs w:val="32"/>
          <w:shd w:val="clear" w:color="auto" w:fill="FFFFFF"/>
        </w:rPr>
        <w:t>贯彻落实</w:t>
      </w:r>
      <w:r>
        <w:rPr>
          <w:rFonts w:hint="eastAsia" w:ascii="仿宋_GB2312" w:hAnsi="仿宋_GB2312" w:eastAsia="仿宋_GB2312" w:cs="仿宋_GB2312"/>
          <w:sz w:val="32"/>
          <w:szCs w:val="32"/>
        </w:rPr>
        <w:t>《互联网平台企业涉税信息报送规定》、《涉税专业服务管理办法（试行）》（国家税务总局令第58号）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国家税务总局广东省、河南省、湖北省、湖南省、广西壮族自治区、海南省、深圳市税务局根据现行法律、法规和规章规定，</w:t>
      </w:r>
      <w:r>
        <w:rPr>
          <w:rFonts w:hint="eastAsia" w:ascii="仿宋_GB2312" w:hAnsi="仿宋_GB2312" w:eastAsia="仿宋_GB2312" w:cs="仿宋_GB2312"/>
          <w:color w:val="auto"/>
          <w:sz w:val="32"/>
          <w:szCs w:val="32"/>
          <w:lang w:val="en-US" w:eastAsia="zh-CN"/>
        </w:rPr>
        <w:t>结合本区域执法实际情况，</w:t>
      </w:r>
      <w:r>
        <w:rPr>
          <w:rFonts w:hint="eastAsia" w:ascii="仿宋_GB2312" w:hAnsi="仿宋_GB2312" w:eastAsia="仿宋_GB2312" w:cs="仿宋_GB2312"/>
          <w:color w:val="auto"/>
          <w:sz w:val="32"/>
          <w:szCs w:val="32"/>
        </w:rPr>
        <w:t>联合</w:t>
      </w:r>
      <w:r>
        <w:rPr>
          <w:rFonts w:hint="eastAsia" w:ascii="仿宋_GB2312" w:hAnsi="仿宋_GB2312" w:eastAsia="仿宋_GB2312" w:cs="仿宋_GB2312"/>
          <w:color w:val="auto"/>
          <w:sz w:val="32"/>
          <w:szCs w:val="32"/>
          <w:lang w:val="en-US" w:eastAsia="zh-CN"/>
        </w:rPr>
        <w:t>修订</w:t>
      </w:r>
      <w:r>
        <w:rPr>
          <w:rFonts w:hint="eastAsia" w:ascii="仿宋_GB2312" w:hAnsi="仿宋_GB2312" w:eastAsia="仿宋_GB2312" w:cs="仿宋_GB2312"/>
          <w:color w:val="auto"/>
          <w:sz w:val="32"/>
          <w:szCs w:val="32"/>
        </w:rPr>
        <w:t>《中南区域税务行政处罚裁量基准》（以下简称《裁量基准》）。</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w:t>
      </w:r>
      <w:r>
        <w:rPr>
          <w:rFonts w:hint="eastAsia" w:ascii="黑体" w:hAnsi="黑体" w:eastAsia="黑体" w:cs="黑体"/>
          <w:b w:val="0"/>
          <w:bCs/>
          <w:color w:val="auto"/>
          <w:sz w:val="32"/>
          <w:szCs w:val="32"/>
          <w:lang w:eastAsia="zh-CN"/>
        </w:rPr>
        <w:t>修订的</w:t>
      </w:r>
      <w:r>
        <w:rPr>
          <w:rFonts w:hint="eastAsia" w:ascii="黑体" w:hAnsi="黑体" w:eastAsia="黑体" w:cs="黑体"/>
          <w:b w:val="0"/>
          <w:bCs/>
          <w:color w:val="auto"/>
          <w:sz w:val="32"/>
          <w:szCs w:val="32"/>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color w:val="auto"/>
          <w:sz w:val="32"/>
          <w:szCs w:val="32"/>
          <w:lang w:val="en-US" w:eastAsia="zh-CN"/>
        </w:rPr>
        <w:t>本次修订主要包括三方面内容：一是新增4项涉税违法行为行政处罚的裁量基准，具体是依据</w:t>
      </w:r>
      <w:r>
        <w:rPr>
          <w:rFonts w:hint="eastAsia" w:ascii="仿宋_GB2312" w:hAnsi="仿宋_GB2312" w:eastAsia="仿宋_GB2312" w:cs="仿宋_GB2312"/>
          <w:sz w:val="32"/>
          <w:szCs w:val="32"/>
        </w:rPr>
        <w:t>《互联网平台企业涉税信息报送规定》、《涉税专业服务管理办法（试行）》（国家税务总局令第58号）</w:t>
      </w:r>
      <w:r>
        <w:rPr>
          <w:rFonts w:hint="eastAsia" w:ascii="仿宋_GB2312" w:hAnsi="仿宋_GB2312" w:eastAsia="仿宋_GB2312" w:cs="仿宋_GB2312"/>
          <w:sz w:val="32"/>
          <w:szCs w:val="32"/>
          <w:lang w:eastAsia="zh-CN"/>
        </w:rPr>
        <w:t>的有关规定，</w:t>
      </w:r>
      <w:r>
        <w:rPr>
          <w:rFonts w:hint="eastAsia" w:ascii="仿宋_GB2312" w:hAnsi="仿宋_GB2312" w:eastAsia="仿宋_GB2312" w:cs="仿宋_GB2312"/>
          <w:color w:val="auto"/>
          <w:sz w:val="32"/>
          <w:szCs w:val="32"/>
          <w:lang w:val="en-US" w:eastAsia="zh-CN"/>
        </w:rPr>
        <w:t>新设“违反涉税信息报送规定”“违反涉税专业服务管理规定”两类共4项违法行为的行政处罚</w:t>
      </w:r>
      <w:r>
        <w:rPr>
          <w:rFonts w:hint="eastAsia" w:ascii="仿宋_GB2312" w:hAnsi="仿宋_GB2312" w:eastAsia="仿宋_GB2312" w:cs="仿宋_GB2312"/>
          <w:sz w:val="32"/>
          <w:szCs w:val="32"/>
          <w:lang w:eastAsia="zh-CN"/>
        </w:rPr>
        <w:t>裁量基准；二是进一步推动裁量适当，结合区域征管实际，对</w:t>
      </w:r>
      <w:r>
        <w:rPr>
          <w:rFonts w:hint="eastAsia" w:ascii="仿宋_GB2312" w:hAnsi="仿宋_GB2312" w:eastAsia="仿宋_GB2312" w:cs="仿宋_GB2312"/>
          <w:i w:val="0"/>
          <w:iCs w:val="0"/>
          <w:caps w:val="0"/>
          <w:color w:val="000000"/>
          <w:spacing w:val="0"/>
          <w:kern w:val="0"/>
          <w:sz w:val="32"/>
          <w:szCs w:val="32"/>
          <w:lang w:val="en-US" w:eastAsia="zh-CN" w:bidi="ar"/>
        </w:rPr>
        <w:t>部分违法行为行政处罚</w:t>
      </w:r>
      <w:bookmarkStart w:id="0" w:name="_GoBack"/>
      <w:bookmarkEnd w:id="0"/>
      <w:r>
        <w:rPr>
          <w:rFonts w:hint="eastAsia" w:ascii="仿宋_GB2312" w:hAnsi="仿宋_GB2312" w:eastAsia="仿宋_GB2312" w:cs="仿宋_GB2312"/>
          <w:i w:val="0"/>
          <w:iCs w:val="0"/>
          <w:caps w:val="0"/>
          <w:color w:val="000000"/>
          <w:spacing w:val="0"/>
          <w:kern w:val="0"/>
          <w:sz w:val="32"/>
          <w:szCs w:val="32"/>
          <w:lang w:val="en-US" w:eastAsia="zh-CN" w:bidi="ar"/>
        </w:rPr>
        <w:t>裁量基准的适用条件和具体标准予以完善，合理优化细化具体情节，尽量压缩裁量空间，使裁量基准更具科学性、合理性。三是完善了《裁量基准》的部分表述，如“以上（不含本数）”“以下（不含本数）”的表述改为“超过”“不满”，将具体标准中的“个人（含个体工商户）”“企业或者企业组织”表述改为“个人”“单位”，使裁量基准整体上更明确、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修订后的《</w:t>
      </w:r>
      <w:r>
        <w:rPr>
          <w:rFonts w:hint="eastAsia" w:ascii="仿宋_GB2312" w:hAnsi="仿宋_GB2312" w:eastAsia="仿宋_GB2312" w:cs="仿宋_GB2312"/>
          <w:color w:val="auto"/>
          <w:sz w:val="32"/>
          <w:szCs w:val="32"/>
          <w:lang w:eastAsia="zh-CN"/>
        </w:rPr>
        <w:t>裁量基准</w:t>
      </w:r>
      <w:r>
        <w:rPr>
          <w:rFonts w:hint="eastAsia" w:ascii="仿宋_GB2312" w:hAnsi="仿宋_GB2312" w:eastAsia="仿宋_GB2312" w:cs="仿宋_GB2312"/>
          <w:color w:val="auto"/>
          <w:sz w:val="32"/>
          <w:szCs w:val="32"/>
          <w:lang w:val="en-US" w:eastAsia="zh-CN"/>
        </w:rPr>
        <w:t>》涵盖了违反税务登记管理规定、违反账簿凭证管理规定、违反纳税申报管理规定、违反税款征收管理规定、违反税务检查管理规定、违反发票及票证管理规定、违反纳税担保管理规定、违反涉税专业服务管理规定、违反涉税信息报送规定等九类62项税务违法行为，对《中华人民共和国税收征收管理法》及其实施细则、《中华人民共和国发票管理办法》</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互联网平台企业涉税信息报送规定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《税务登记管理办法》（国家税务总局令第7号公布，第36号、第44号、第48号修改）、《纳税担保试行办法》（国家税务总局令第11号公布）、《非居民承包工程作业和提供劳务税收管理暂行办法》(国家税务</w:t>
      </w:r>
      <w:r>
        <w:rPr>
          <w:rFonts w:hint="eastAsia" w:ascii="仿宋_GB2312" w:hAnsi="仿宋_GB2312" w:eastAsia="仿宋_GB2312" w:cs="仿宋_GB2312"/>
          <w:color w:val="auto"/>
          <w:sz w:val="32"/>
          <w:szCs w:val="32"/>
          <w:lang w:val="en-US" w:eastAsia="zh-CN"/>
        </w:rPr>
        <w:t>总局令第19号公布)、《税收票证管理办法》（国家税务总局令第28号公布，第48号修改）、</w:t>
      </w:r>
      <w:r>
        <w:rPr>
          <w:rFonts w:hint="eastAsia" w:ascii="仿宋_GB2312" w:hAnsi="仿宋_GB2312" w:eastAsia="仿宋_GB2312" w:cs="仿宋_GB2312"/>
          <w:sz w:val="32"/>
          <w:szCs w:val="32"/>
          <w:highlight w:val="none"/>
          <w:lang w:eastAsia="zh-CN"/>
        </w:rPr>
        <w:t>《涉税专业服务管理办法（试行）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国家税务总局令第58号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lang w:val="en-US" w:eastAsia="zh-CN"/>
        </w:rPr>
        <w:t>等法律、法规和规章规定的税务行政处罚裁量权进行细化量化，明确了各项税务违法行为的裁量阶次、适用条件和具体标准。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740" w:leftChars="0" w:right="0" w:rightChars="0"/>
        <w:jc w:val="both"/>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226FF"/>
    <w:rsid w:val="0C4F5747"/>
    <w:rsid w:val="0D0115AA"/>
    <w:rsid w:val="120419DA"/>
    <w:rsid w:val="12DD4A9A"/>
    <w:rsid w:val="156C39EB"/>
    <w:rsid w:val="1AD338B1"/>
    <w:rsid w:val="1BE72CCB"/>
    <w:rsid w:val="1CEF7C4A"/>
    <w:rsid w:val="24254CFF"/>
    <w:rsid w:val="26BE6EE7"/>
    <w:rsid w:val="2D516C21"/>
    <w:rsid w:val="2DA16B1B"/>
    <w:rsid w:val="31D8182F"/>
    <w:rsid w:val="3848658B"/>
    <w:rsid w:val="39291D95"/>
    <w:rsid w:val="41857CE4"/>
    <w:rsid w:val="439C2BD1"/>
    <w:rsid w:val="45002334"/>
    <w:rsid w:val="52044E1D"/>
    <w:rsid w:val="57A65D7B"/>
    <w:rsid w:val="5E825EAD"/>
    <w:rsid w:val="6140613C"/>
    <w:rsid w:val="61857DF1"/>
    <w:rsid w:val="65E9543A"/>
    <w:rsid w:val="6B3D2825"/>
    <w:rsid w:val="6EE94D40"/>
    <w:rsid w:val="6F631F06"/>
    <w:rsid w:val="70B07545"/>
    <w:rsid w:val="729F1719"/>
    <w:rsid w:val="76CA6BC2"/>
    <w:rsid w:val="78327223"/>
    <w:rsid w:val="78E27EE2"/>
    <w:rsid w:val="798226FF"/>
    <w:rsid w:val="7CD40D8A"/>
    <w:rsid w:val="7FDF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7">
    <w:name w:val="Normal Indent1"/>
    <w:basedOn w:val="8"/>
    <w:next w:val="1"/>
    <w:qFormat/>
    <w:uiPriority w:val="0"/>
    <w:pPr>
      <w:spacing w:line="660" w:lineRule="exact"/>
      <w:ind w:firstLine="720" w:firstLineChars="200"/>
    </w:pPr>
    <w:rPr>
      <w:rFonts w:eastAsia="楷体_GB2312" w:cs="Calibri"/>
      <w:sz w:val="36"/>
      <w:szCs w:val="36"/>
    </w:rPr>
  </w:style>
  <w:style w:type="paragraph" w:customStyle="1" w:styleId="8">
    <w:name w:val="正文 New New New"/>
    <w:next w:val="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2025-10-12T01:58:00Z</dcterms:created>
  <dc:creator>慧慧</dc:creator>
  <cp:lastModifiedBy>姚淑雯</cp:lastModifiedBy>
  <dcterms:modified xsi:type="dcterms:W3CDTF">2026-02-09T03:56:07Z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031186579CBA424BBE077CD6A6D8A4E3_11</vt:lpwstr>
  </property>
  <property fmtid="{D5CDD505-2E9C-101B-9397-08002B2CF9AE}" pid="4" name="KSOTemplateDocerSaveRecord">
    <vt:lpwstr>eyJoZGlkIjoiZDk5NGU5MzJiOThiZDllZGM4YmQ0OGIxOWI1NWViMTAiLCJ1c2VySWQiOiIxMDU0NDQzMzk5In0=</vt:lpwstr>
  </property>
</Properties>
</file>