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国家税务总局广东省税务局 国家税务总局河南省税务局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国家税务总局湖北省税务局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国家税务总局湖南省税务局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国家税务总局广西壮族自治区税务局 国家税务总局海南省税务局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国家税务总局深圳市税务局关于修订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《中南区域税务行政处罚裁量基准》的公告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规范税务行政处罚裁量权行使，切实保障税务行政相对人合法权益，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深入推进区域税务执法协同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国家税务总局广东省税务局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海南省税务局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中南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区域税务行政处罚裁量基准》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现予以发布，并将有关事项明确如下：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广东省、河南省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湖南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广西壮族自治区、海南省、深圳市</w:t>
      </w:r>
      <w:r>
        <w:rPr>
          <w:rFonts w:hint="eastAsia" w:ascii="仿宋_GB2312" w:eastAsia="仿宋_GB2312"/>
          <w:sz w:val="32"/>
          <w:szCs w:val="32"/>
        </w:rPr>
        <w:t>各级税务机关在实施税务行政处罚时，适用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各级税务机关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在实施税务行政处罚时，应当引用法律、法规和规章为依据，并在行政处罚决定书中对裁量基准的适用情况予以明确，不得单独引用《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中南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区域税务行政处罚裁量基准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》作为作出处罚决定的依据。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《中南区域税务行政处罚裁量基准》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所称“以上”“以下”均含本数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，“不满”“超过”均不含本数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所称“个人”指自然人、个体工商户，所称“单位”指除自然人、个体工商户之外的企业、事业单位、社会团体和其他组织；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所称“发票金额”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为发票价税合计金额。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四、本公告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施行前发生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税务机关尚未作出行政处罚决定的税务违法行为，按照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规定处理，但按照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处理有利于税务行政相对人的除外。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国家税务总局广东省税务局 国家税务总局河南省税务局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国家税务总局湖北省税务局 国家税务总局湖南省税务局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国家税务总局广西壮族自治区税务局 国家税务总局海南省税务局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国家税务总局深圳市税务局关于发布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中南区域税务行政处罚裁量基准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2023年第5号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中南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区域税务行政处罚裁量基准》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国家税务总局广东省税务局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国家税务总局河南省税务局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国家税务总局湖北省税务局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国家税务总局湖南省税务局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国家税务总局广西壮族自治区税务局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国家税务总局海南省税务局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国家税务总局深圳市税务局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E728E"/>
    <w:multiLevelType w:val="singleLevel"/>
    <w:tmpl w:val="69DE72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42A5"/>
    <w:rsid w:val="09710480"/>
    <w:rsid w:val="09943552"/>
    <w:rsid w:val="15FD75D3"/>
    <w:rsid w:val="16234A9F"/>
    <w:rsid w:val="196840F9"/>
    <w:rsid w:val="1A6A1C83"/>
    <w:rsid w:val="30F329A6"/>
    <w:rsid w:val="32531877"/>
    <w:rsid w:val="3BD00B0A"/>
    <w:rsid w:val="436A214A"/>
    <w:rsid w:val="4895440A"/>
    <w:rsid w:val="4A7D0A3C"/>
    <w:rsid w:val="4A84404F"/>
    <w:rsid w:val="6B95124B"/>
    <w:rsid w:val="6CDF69BE"/>
    <w:rsid w:val="6F8E5C75"/>
    <w:rsid w:val="71C123D8"/>
    <w:rsid w:val="731C4908"/>
    <w:rsid w:val="73346387"/>
    <w:rsid w:val="76EC0A09"/>
    <w:rsid w:val="7CC222E9"/>
    <w:rsid w:val="7F0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next w:val="1"/>
    <w:qFormat/>
    <w:uiPriority w:val="0"/>
    <w:pPr>
      <w:spacing w:line="660" w:lineRule="exact"/>
      <w:ind w:firstLine="720" w:firstLineChars="200"/>
    </w:pPr>
    <w:rPr>
      <w:rFonts w:eastAsia="楷体_GB2312" w:cs="Calibri"/>
      <w:sz w:val="36"/>
      <w:szCs w:val="36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2025-10-12T02:01:00Z</dcterms:created>
  <dc:creator>MO</dc:creator>
  <cp:lastModifiedBy>姚淑雯</cp:lastModifiedBy>
  <cp:lastPrinted>2026-02-05T01:49:00Z</cp:lastPrinted>
  <dcterms:modified xsi:type="dcterms:W3CDTF">2026-02-09T03:55:23Z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eyJoZGlkIjoiOTc3M2Y5NzIzMDFlZjAyY2Q4Njk5ODkyYjFjNzBiNTQiLCJ1c2VySWQiOiIyNjU2NzM3NDEifQ==</vt:lpwstr>
  </property>
  <property fmtid="{D5CDD505-2E9C-101B-9397-08002B2CF9AE}" pid="4" name="ICV">
    <vt:lpwstr>AEB4EE4455A74050BB9BABAAE527A24F_12</vt:lpwstr>
  </property>
</Properties>
</file>