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大标宋简体" w:hAnsi="方正大标宋简体" w:eastAsia="方正大标宋简体" w:cs="方正大标宋简体"/>
          <w:b w:val="0"/>
          <w:bCs w:val="0"/>
          <w:color w:val="auto"/>
          <w:sz w:val="44"/>
          <w:szCs w:val="44"/>
          <w:highlight w:val="none"/>
          <w:lang w:val="en-US" w:eastAsia="zh-CN"/>
        </w:rPr>
      </w:pPr>
      <w:r>
        <w:rPr>
          <w:rFonts w:hint="eastAsia" w:ascii="方正大标宋简体" w:hAnsi="方正大标宋简体" w:eastAsia="方正大标宋简体" w:cs="方正大标宋简体"/>
          <w:b w:val="0"/>
          <w:bCs w:val="0"/>
          <w:color w:val="auto"/>
          <w:sz w:val="44"/>
          <w:szCs w:val="44"/>
          <w:highlight w:val="none"/>
          <w:lang w:val="en-US" w:eastAsia="zh-CN"/>
        </w:rPr>
        <w:t>国家税务总局广西壮族自治区税务局</w:t>
      </w:r>
    </w:p>
    <w:p>
      <w:pPr>
        <w:pStyle w:val="1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大标宋简体" w:hAnsi="方正大标宋简体" w:eastAsia="方正大标宋简体" w:cs="方正大标宋简体"/>
          <w:b w:val="0"/>
          <w:bCs w:val="0"/>
          <w:color w:val="auto"/>
          <w:sz w:val="44"/>
          <w:szCs w:val="44"/>
          <w:highlight w:val="none"/>
          <w:lang w:val="en-US" w:eastAsia="zh-CN"/>
        </w:rPr>
      </w:pPr>
      <w:r>
        <w:rPr>
          <w:rFonts w:hint="eastAsia" w:ascii="方正大标宋简体" w:hAnsi="方正大标宋简体" w:eastAsia="方正大标宋简体" w:cs="方正大标宋简体"/>
          <w:b w:val="0"/>
          <w:bCs w:val="0"/>
          <w:color w:val="auto"/>
          <w:sz w:val="44"/>
          <w:szCs w:val="44"/>
          <w:highlight w:val="none"/>
          <w:lang w:val="en-US" w:eastAsia="zh-CN"/>
        </w:rPr>
        <w:t>关于部分行业环境保护税核定计算</w:t>
      </w:r>
    </w:p>
    <w:p>
      <w:pPr>
        <w:pStyle w:val="1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大标宋简体" w:hAnsi="方正大标宋简体" w:eastAsia="方正大标宋简体" w:cs="方正大标宋简体"/>
          <w:b w:val="0"/>
          <w:bCs w:val="0"/>
          <w:color w:val="auto"/>
          <w:sz w:val="44"/>
          <w:szCs w:val="44"/>
          <w:highlight w:val="none"/>
          <w:lang w:val="en-US" w:eastAsia="zh-CN"/>
        </w:rPr>
      </w:pPr>
      <w:r>
        <w:rPr>
          <w:rFonts w:hint="eastAsia" w:ascii="方正大标宋简体" w:hAnsi="方正大标宋简体" w:eastAsia="方正大标宋简体" w:cs="方正大标宋简体"/>
          <w:b w:val="0"/>
          <w:bCs w:val="0"/>
          <w:color w:val="auto"/>
          <w:sz w:val="44"/>
          <w:szCs w:val="44"/>
          <w:highlight w:val="none"/>
          <w:lang w:val="en-US" w:eastAsia="zh-CN"/>
        </w:rPr>
        <w:t>有关问题的公告（征求意见稿）</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微软雅黑" w:hAnsi="微软雅黑" w:eastAsia="仿宋_GB2312" w:cs="微软雅黑"/>
          <w:i w:val="0"/>
          <w:iCs w:val="0"/>
          <w:caps w:val="0"/>
          <w:color w:val="auto"/>
          <w:spacing w:val="0"/>
          <w:kern w:val="2"/>
          <w:sz w:val="28"/>
          <w:szCs w:val="28"/>
          <w:highlight w:val="none"/>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为加强和规范环境保护税征收管理，根据《中华人民共和国环境保护税法》（以下简称《环保税法》）及其实施条例、《中华人民共和国税收征收管理法》及其实施细则等有关规定，结合广西实际，现就部分行业应税污染物环境保护税核定计算有关问题公告如下：</w:t>
      </w:r>
    </w:p>
    <w:p>
      <w:pPr>
        <w:pStyle w:val="13"/>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本公告适用于符合《环保税法》第十条第四项规定，采用抽样测算方法核定计算应税</w:t>
      </w:r>
      <w:r>
        <w:rPr>
          <w:rFonts w:hint="eastAsia" w:ascii="仿宋_GB2312" w:hAnsi="仿宋_GB2312" w:eastAsia="仿宋_GB2312" w:cs="仿宋_GB2312"/>
          <w:b w:val="0"/>
          <w:bCs w:val="0"/>
          <w:i w:val="0"/>
          <w:iCs w:val="0"/>
          <w:caps w:val="0"/>
          <w:color w:val="auto"/>
          <w:spacing w:val="0"/>
          <w:kern w:val="2"/>
          <w:sz w:val="32"/>
          <w:szCs w:val="32"/>
          <w:highlight w:val="none"/>
          <w:u w:val="none"/>
          <w:shd w:val="clear" w:color="auto" w:fill="FFFFFF"/>
          <w:lang w:val="en-US" w:eastAsia="zh-CN" w:bidi="ar-SA"/>
        </w:rPr>
        <w:t>大气污染物、水污染物</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排放量的纳税人。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sz w:val="32"/>
          <w:szCs w:val="32"/>
          <w:lang w:val="en" w:eastAsia="zh-CN"/>
        </w:rPr>
        <w:t>二、本公告所称核定计算，是指依照</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《环保税法》所附《应税污染物和当量值表》“四、</w:t>
      </w:r>
      <w:r>
        <w:rPr>
          <w:rFonts w:hint="eastAsia" w:ascii="仿宋_GB2312" w:hAnsi="仿宋_GB2312" w:eastAsia="仿宋_GB2312" w:cs="仿宋_GB2312"/>
          <w:sz w:val="32"/>
          <w:szCs w:val="32"/>
          <w:lang w:val="en" w:eastAsia="zh-CN"/>
        </w:rPr>
        <w:t>禽畜养殖业、小型企业和第三产业水污染物污染当量值</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w:t>
      </w:r>
      <w:r>
        <w:rPr>
          <w:rFonts w:hint="eastAsia" w:ascii="仿宋_GB2312" w:hAnsi="仿宋_GB2312" w:eastAsia="仿宋_GB2312" w:cs="仿宋_GB2312"/>
          <w:sz w:val="32"/>
          <w:szCs w:val="32"/>
          <w:lang w:val="en" w:eastAsia="zh-CN"/>
        </w:rPr>
        <w:t>（附件1）、</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《广西壮族自治区生态环境厅关于发布部分小型第三产业环境保护税应税污染物排放量抽样测算特征值系数的通告》（桂环规范</w:t>
      </w:r>
      <w:r>
        <w:rPr>
          <w:rFonts w:hint="eastAsia" w:ascii="仿宋_GB2312" w:hAnsi="仿宋_GB2312" w:eastAsia="仿宋_GB2312" w:cs="仿宋_GB2312"/>
          <w:color w:val="auto"/>
          <w:sz w:val="32"/>
          <w:szCs w:val="32"/>
          <w:highlight w:val="none"/>
          <w:lang w:val="en" w:eastAsia="zh-CN"/>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2号</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）所附《部分小型第三产业排污特征值系数》</w:t>
      </w:r>
      <w:r>
        <w:rPr>
          <w:rFonts w:hint="eastAsia" w:ascii="仿宋_GB2312" w:hAnsi="仿宋_GB2312" w:eastAsia="仿宋_GB2312" w:cs="仿宋_GB2312"/>
          <w:sz w:val="32"/>
          <w:szCs w:val="32"/>
          <w:lang w:val="en" w:eastAsia="zh-CN"/>
        </w:rPr>
        <w:t>（附件2）和</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《广西壮族自治区生态环境厅关于发布广西环境保护税应税污染物施工扬尘排污特征值系数及排放量计算方法的通告》（桂环规范〔20</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25</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号）所附《</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施工扬尘产生、削减系数表</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sz w:val="32"/>
          <w:szCs w:val="32"/>
          <w:lang w:val="en" w:eastAsia="zh-CN"/>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 w:eastAsia="zh-CN"/>
        </w:rPr>
        <w:t>）计算环境保护税应纳税额。</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br w:type="textWrapping"/>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 xml:space="preserve">    三</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禽畜养殖业</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水污染物应纳税额的计算方法</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应纳税额=水污染物</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污染</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当量数×适用税额</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br w:type="textWrapping"/>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水污染物</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污染</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当量数=禽畜养殖场的月均存栏量（头、羽）÷污染当量值</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br w:type="textWrapping"/>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月均存栏量按照月初存栏量和月末存栏量的平均数计算。</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t>污染当量值按照</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w:t>
      </w:r>
      <w:r>
        <w:rPr>
          <w:rFonts w:hint="eastAsia" w:ascii="仿宋_GB2312" w:hAnsi="仿宋_GB2312" w:eastAsia="仿宋_GB2312" w:cs="仿宋_GB2312"/>
          <w:sz w:val="32"/>
          <w:szCs w:val="32"/>
          <w:lang w:val="en" w:eastAsia="zh-CN"/>
        </w:rPr>
        <w:t>禽畜养殖业、小型企业和第三产业水污染物污染当量值</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》（附件1）</w:t>
      </w: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t>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t>禽畜养殖业规模标准按照</w:t>
      </w:r>
      <w:r>
        <w:rPr>
          <w:rFonts w:hint="eastAsia" w:ascii="仿宋_GB2312" w:hAnsi="仿宋_GB2312" w:eastAsia="仿宋_GB2312" w:cs="仿宋_GB2312"/>
          <w:color w:val="auto"/>
          <w:sz w:val="32"/>
          <w:szCs w:val="32"/>
          <w:highlight w:val="none"/>
          <w:lang w:val="en" w:eastAsia="zh-CN"/>
        </w:rPr>
        <w:t>《广西壮族自治区人民政府办公厅关于印发广西畜禽规模养殖污染防治工作方案的通知》（桂政办发﹝201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 w:eastAsia="zh-CN"/>
        </w:rPr>
        <w:t>﹞1</w:t>
      </w:r>
      <w:r>
        <w:rPr>
          <w:rFonts w:hint="eastAsia" w:ascii="仿宋_GB2312" w:hAnsi="仿宋_GB2312" w:eastAsia="仿宋_GB2312" w:cs="仿宋_GB2312"/>
          <w:color w:val="auto"/>
          <w:sz w:val="32"/>
          <w:szCs w:val="32"/>
          <w:highlight w:val="none"/>
          <w:lang w:val="en-US" w:eastAsia="zh-CN"/>
        </w:rPr>
        <w:t>33</w:t>
      </w:r>
      <w:r>
        <w:rPr>
          <w:rFonts w:hint="eastAsia" w:ascii="仿宋_GB2312" w:hAnsi="仿宋_GB2312" w:eastAsia="仿宋_GB2312" w:cs="仿宋_GB2312"/>
          <w:color w:val="auto"/>
          <w:sz w:val="32"/>
          <w:szCs w:val="32"/>
          <w:highlight w:val="none"/>
          <w:lang w:val="en" w:eastAsia="zh-CN"/>
        </w:rPr>
        <w:t>号）确定</w:t>
      </w:r>
      <w:r>
        <w:rPr>
          <w:rFonts w:hint="eastAsia" w:ascii="仿宋_GB2312" w:eastAsia="仿宋_GB2312"/>
          <w:color w:val="auto"/>
          <w:sz w:val="32"/>
          <w:szCs w:val="32"/>
          <w:highlight w:val="none"/>
        </w:rPr>
        <w:t>。</w:t>
      </w:r>
    </w:p>
    <w:p>
      <w:pPr>
        <w:pStyle w:val="13"/>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color="auto" w:fill="FFFFFF"/>
        </w:rPr>
      </w:pP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四、</w:t>
      </w:r>
      <w:r>
        <w:rPr>
          <w:rFonts w:hint="eastAsia" w:ascii="仿宋_GB2312" w:hAnsi="仿宋_GB2312" w:eastAsia="仿宋_GB2312" w:cs="仿宋_GB2312"/>
          <w:i w:val="0"/>
          <w:iCs w:val="0"/>
          <w:caps w:val="0"/>
          <w:color w:val="auto"/>
          <w:spacing w:val="0"/>
          <w:sz w:val="32"/>
          <w:szCs w:val="32"/>
          <w:highlight w:val="none"/>
          <w:shd w:val="clear" w:color="auto" w:fill="FFFFFF"/>
        </w:rPr>
        <w:t>医院</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、小型企业和</w:t>
      </w:r>
      <w:r>
        <w:rPr>
          <w:rFonts w:hint="eastAsia" w:ascii="仿宋_GB2312" w:hAnsi="仿宋_GB2312" w:eastAsia="仿宋_GB2312" w:cs="仿宋_GB2312"/>
          <w:b w:val="0"/>
          <w:bCs w:val="0"/>
          <w:i w:val="0"/>
          <w:iCs w:val="0"/>
          <w:caps w:val="0"/>
          <w:color w:val="auto"/>
          <w:spacing w:val="0"/>
          <w:sz w:val="32"/>
          <w:szCs w:val="32"/>
          <w:highlight w:val="none"/>
          <w:u w:val="none"/>
          <w:shd w:val="clear" w:color="auto" w:fill="FFFFFF"/>
          <w:lang w:eastAsia="zh-CN"/>
        </w:rPr>
        <w:t>第三产业</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水污染</w:t>
      </w:r>
      <w:r>
        <w:rPr>
          <w:rFonts w:hint="eastAsia" w:ascii="仿宋_GB2312" w:hAnsi="仿宋_GB2312" w:eastAsia="仿宋_GB2312" w:cs="仿宋_GB2312"/>
          <w:i w:val="0"/>
          <w:iCs w:val="0"/>
          <w:caps w:val="0"/>
          <w:color w:val="auto"/>
          <w:spacing w:val="0"/>
          <w:sz w:val="32"/>
          <w:szCs w:val="32"/>
          <w:highlight w:val="none"/>
          <w:shd w:val="clear" w:color="auto" w:fill="FFFFFF"/>
        </w:rPr>
        <w:t>物应纳税额的计算</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方法</w:t>
      </w:r>
      <w:r>
        <w:rPr>
          <w:rFonts w:hint="eastAsia" w:ascii="仿宋_GB2312" w:hAnsi="仿宋_GB2312" w:eastAsia="仿宋_GB2312" w:cs="仿宋_GB2312"/>
          <w:i w:val="0"/>
          <w:iCs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（一）能</w:t>
      </w:r>
      <w:r>
        <w:rPr>
          <w:rFonts w:hint="eastAsia" w:ascii="仿宋_GB2312" w:hAnsi="仿宋_GB2312" w:eastAsia="仿宋_GB2312" w:cs="仿宋_GB2312"/>
          <w:i w:val="0"/>
          <w:iCs w:val="0"/>
          <w:caps w:val="0"/>
          <w:color w:val="auto"/>
          <w:spacing w:val="0"/>
          <w:sz w:val="32"/>
          <w:szCs w:val="32"/>
          <w:highlight w:val="none"/>
          <w:shd w:val="clear" w:color="auto" w:fill="FFFFFF"/>
        </w:rPr>
        <w:t>提供实际</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月</w:t>
      </w:r>
      <w:r>
        <w:rPr>
          <w:rFonts w:hint="eastAsia" w:ascii="仿宋_GB2312" w:hAnsi="仿宋_GB2312" w:eastAsia="仿宋_GB2312" w:cs="仿宋_GB2312"/>
          <w:i w:val="0"/>
          <w:iCs w:val="0"/>
          <w:caps w:val="0"/>
          <w:color w:val="auto"/>
          <w:spacing w:val="0"/>
          <w:sz w:val="32"/>
          <w:szCs w:val="32"/>
          <w:highlight w:val="none"/>
          <w:shd w:val="clear" w:color="auto" w:fill="FFFFFF"/>
        </w:rPr>
        <w:t>污水排放量的</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iCs w:val="0"/>
          <w:caps w:val="0"/>
          <w:color w:val="auto"/>
          <w:spacing w:val="0"/>
          <w:sz w:val="32"/>
          <w:szCs w:val="32"/>
          <w:highlight w:val="none"/>
          <w:shd w:val="clear" w:color="auto" w:fill="FFFFFF"/>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iCs w:val="0"/>
          <w:caps w:val="0"/>
          <w:color w:val="auto"/>
          <w:spacing w:val="0"/>
          <w:sz w:val="32"/>
          <w:szCs w:val="32"/>
          <w:highlight w:val="none"/>
          <w:shd w:val="clear" w:color="auto" w:fill="FFFFFF"/>
        </w:rPr>
        <w:t>应纳税额=水污染物</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污染</w:t>
      </w:r>
      <w:r>
        <w:rPr>
          <w:rFonts w:hint="eastAsia" w:ascii="仿宋_GB2312" w:hAnsi="仿宋_GB2312" w:eastAsia="仿宋_GB2312" w:cs="仿宋_GB2312"/>
          <w:i w:val="0"/>
          <w:iCs w:val="0"/>
          <w:caps w:val="0"/>
          <w:color w:val="auto"/>
          <w:spacing w:val="0"/>
          <w:sz w:val="32"/>
          <w:szCs w:val="32"/>
          <w:highlight w:val="none"/>
          <w:shd w:val="clear" w:color="auto" w:fill="FFFFFF"/>
        </w:rPr>
        <w:t>当量数×适用税额</w:t>
      </w:r>
      <w:r>
        <w:rPr>
          <w:rFonts w:hint="eastAsia" w:ascii="仿宋_GB2312" w:hAnsi="仿宋_GB2312" w:eastAsia="仿宋_GB2312" w:cs="仿宋_GB2312"/>
          <w:i w:val="0"/>
          <w:iCs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iCs w:val="0"/>
          <w:caps w:val="0"/>
          <w:color w:val="auto"/>
          <w:spacing w:val="0"/>
          <w:sz w:val="32"/>
          <w:szCs w:val="32"/>
          <w:highlight w:val="none"/>
          <w:shd w:val="clear" w:color="auto" w:fill="FFFFFF"/>
        </w:rPr>
        <w:t>水污染物</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污染</w:t>
      </w:r>
      <w:r>
        <w:rPr>
          <w:rFonts w:hint="eastAsia" w:ascii="仿宋_GB2312" w:hAnsi="仿宋_GB2312" w:eastAsia="仿宋_GB2312" w:cs="仿宋_GB2312"/>
          <w:i w:val="0"/>
          <w:iCs w:val="0"/>
          <w:caps w:val="0"/>
          <w:color w:val="auto"/>
          <w:spacing w:val="0"/>
          <w:sz w:val="32"/>
          <w:szCs w:val="32"/>
          <w:highlight w:val="none"/>
          <w:shd w:val="clear" w:color="auto" w:fill="FFFFFF"/>
        </w:rPr>
        <w:t>当量数=</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月</w:t>
      </w:r>
      <w:r>
        <w:rPr>
          <w:rFonts w:hint="eastAsia" w:ascii="仿宋_GB2312" w:hAnsi="仿宋_GB2312" w:eastAsia="仿宋_GB2312" w:cs="仿宋_GB2312"/>
          <w:i w:val="0"/>
          <w:iCs w:val="0"/>
          <w:caps w:val="0"/>
          <w:color w:val="auto"/>
          <w:spacing w:val="0"/>
          <w:sz w:val="32"/>
          <w:szCs w:val="32"/>
          <w:highlight w:val="none"/>
          <w:shd w:val="clear" w:color="auto" w:fill="FFFFFF"/>
        </w:rPr>
        <w:t>污水排放量（吨）÷污染当量值</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污染当量值按照</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w:t>
      </w:r>
      <w:r>
        <w:rPr>
          <w:rFonts w:hint="eastAsia" w:ascii="仿宋_GB2312" w:hAnsi="仿宋_GB2312" w:eastAsia="仿宋_GB2312" w:cs="仿宋_GB2312"/>
          <w:sz w:val="32"/>
          <w:szCs w:val="32"/>
          <w:lang w:val="en" w:eastAsia="zh-CN"/>
        </w:rPr>
        <w:t>禽畜养殖业、小型企业和第三产业水污染物污染当量值</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》（附件1）</w:t>
      </w: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t>执行。</w:t>
      </w:r>
      <w:r>
        <w:rPr>
          <w:rFonts w:hint="eastAsia" w:ascii="仿宋_GB2312" w:hAnsi="仿宋_GB2312" w:eastAsia="仿宋_GB2312" w:cs="仿宋_GB2312"/>
          <w:i w:val="0"/>
          <w:iCs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iCs w:val="0"/>
          <w:caps w:val="0"/>
          <w:color w:val="auto"/>
          <w:spacing w:val="0"/>
          <w:sz w:val="32"/>
          <w:szCs w:val="32"/>
          <w:highlight w:val="none"/>
          <w:shd w:val="clear" w:color="auto" w:fill="FFFFFF"/>
        </w:rPr>
        <w:t>（二）无法提供实际</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月</w:t>
      </w:r>
      <w:r>
        <w:rPr>
          <w:rFonts w:hint="eastAsia" w:ascii="仿宋_GB2312" w:hAnsi="仿宋_GB2312" w:eastAsia="仿宋_GB2312" w:cs="仿宋_GB2312"/>
          <w:i w:val="0"/>
          <w:iCs w:val="0"/>
          <w:caps w:val="0"/>
          <w:color w:val="auto"/>
          <w:spacing w:val="0"/>
          <w:sz w:val="32"/>
          <w:szCs w:val="32"/>
          <w:highlight w:val="none"/>
          <w:shd w:val="clear" w:color="auto" w:fill="FFFFFF"/>
        </w:rPr>
        <w:t>污水排放量的</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.医院应纳税额=医院床位数（床）÷污染当量值×适用税额</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污染当量值按照</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w:t>
      </w:r>
      <w:r>
        <w:rPr>
          <w:rFonts w:hint="eastAsia" w:ascii="仿宋_GB2312" w:hAnsi="仿宋_GB2312" w:eastAsia="仿宋_GB2312" w:cs="仿宋_GB2312"/>
          <w:sz w:val="32"/>
          <w:szCs w:val="32"/>
          <w:lang w:val="en" w:eastAsia="zh-CN"/>
        </w:rPr>
        <w:t>禽畜养殖业、小型企业和第三产业水污染物污染当量值</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》（附件1）</w:t>
      </w: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t>执行。</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br w:type="textWrapping"/>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 xml:space="preserve">    2</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.餐饮业应纳税额=污水排污特征值系数×适用税额</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br w:type="textWrapping"/>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污水排污特征值系数按照《部分小型第三产业排污特征值系数》（附件</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）执行。</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部分小型第三产业应纳税额=污水排污特征值系数×特征指标值×适用税额</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污水排污特征值系数按照《部分小型第三产业排污特征值系数》（附件</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）执行。</w:t>
      </w:r>
    </w:p>
    <w:p>
      <w:pPr>
        <w:pStyle w:val="13"/>
        <w:numPr>
          <w:ilvl w:val="0"/>
          <w:numId w:val="0"/>
        </w:numPr>
        <w:spacing w:line="600" w:lineRule="exact"/>
        <w:ind w:firstLine="640" w:firstLineChars="200"/>
        <w:rPr>
          <w:rFonts w:hint="eastAsia" w:ascii="仿宋_GB2312" w:hAnsi="仿宋_GB2312" w:eastAsia="仿宋_GB2312" w:cs="仿宋_GB2312"/>
          <w:i w:val="0"/>
          <w:iCs w:val="0"/>
          <w:caps w:val="0"/>
          <w:color w:val="auto"/>
          <w:spacing w:val="0"/>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lang w:val="en" w:eastAsia="zh-CN"/>
        </w:rPr>
        <w:t>小型企业划分标准按照《工业和信息化部 国家统计局 国家发展和改革委员会</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 w:eastAsia="zh-CN"/>
        </w:rPr>
        <w:t>财政部关于印发中小企业划型标准规定的通知》（工信部联企业﹝2011﹞300号）规定执行。</w:t>
      </w:r>
      <w:r>
        <w:rPr>
          <w:rFonts w:hint="eastAsia" w:ascii="仿宋_GB2312" w:hAnsi="仿宋_GB2312" w:eastAsia="仿宋_GB2312" w:cs="仿宋_GB2312"/>
          <w:i w:val="0"/>
          <w:iCs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 xml:space="preserve">    五</w:t>
      </w:r>
      <w:r>
        <w:rPr>
          <w:rFonts w:hint="eastAsia" w:ascii="仿宋_GB2312" w:hAnsi="仿宋_GB2312" w:eastAsia="仿宋_GB2312" w:cs="仿宋_GB2312"/>
          <w:i w:val="0"/>
          <w:iCs w:val="0"/>
          <w:caps w:val="0"/>
          <w:color w:val="auto"/>
          <w:spacing w:val="0"/>
          <w:sz w:val="32"/>
          <w:szCs w:val="32"/>
          <w:highlight w:val="none"/>
          <w:shd w:val="clear" w:color="auto" w:fill="FFFFFF"/>
        </w:rPr>
        <w:t>、</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餐饮业和使用</w:t>
      </w:r>
      <w:r>
        <w:rPr>
          <w:rFonts w:hint="eastAsia" w:ascii="仿宋_GB2312" w:hAnsi="仿宋_GB2312" w:eastAsia="仿宋_GB2312" w:cs="仿宋_GB2312"/>
          <w:i w:val="0"/>
          <w:iCs w:val="0"/>
          <w:caps w:val="0"/>
          <w:color w:val="auto"/>
          <w:spacing w:val="0"/>
          <w:sz w:val="32"/>
          <w:szCs w:val="32"/>
          <w:highlight w:val="none"/>
          <w:shd w:val="clear" w:color="auto" w:fill="FFFFFF"/>
        </w:rPr>
        <w:t>独立燃烧锅炉单位的大气污染物应纳税额的计算</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方法</w:t>
      </w:r>
      <w:r>
        <w:rPr>
          <w:rFonts w:hint="eastAsia" w:ascii="仿宋_GB2312" w:hAnsi="仿宋_GB2312" w:eastAsia="仿宋_GB2312" w:cs="仿宋_GB2312"/>
          <w:i w:val="0"/>
          <w:iCs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iCs w:val="0"/>
          <w:caps w:val="0"/>
          <w:color w:val="auto"/>
          <w:spacing w:val="0"/>
          <w:sz w:val="32"/>
          <w:szCs w:val="32"/>
          <w:highlight w:val="none"/>
          <w:shd w:val="clear" w:color="auto" w:fill="FFFFFF"/>
        </w:rPr>
        <w:t>应纳税额=</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废气</w:t>
      </w:r>
      <w:r>
        <w:rPr>
          <w:rFonts w:hint="eastAsia" w:ascii="仿宋_GB2312" w:hAnsi="仿宋_GB2312" w:eastAsia="仿宋_GB2312" w:cs="仿宋_GB2312"/>
          <w:i w:val="0"/>
          <w:iCs w:val="0"/>
          <w:caps w:val="0"/>
          <w:color w:val="auto"/>
          <w:spacing w:val="0"/>
          <w:sz w:val="32"/>
          <w:szCs w:val="32"/>
          <w:highlight w:val="none"/>
          <w:shd w:val="clear" w:color="auto" w:fill="FFFFFF"/>
        </w:rPr>
        <w:t>排污特征值系数×适用税额</w:t>
      </w:r>
      <w:r>
        <w:rPr>
          <w:rFonts w:hint="eastAsia" w:ascii="仿宋_GB2312" w:hAnsi="仿宋_GB2312" w:eastAsia="仿宋_GB2312" w:cs="仿宋_GB2312"/>
          <w:i w:val="0"/>
          <w:iCs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废气</w:t>
      </w:r>
      <w:r>
        <w:rPr>
          <w:rFonts w:hint="eastAsia" w:ascii="仿宋_GB2312" w:hAnsi="仿宋_GB2312" w:eastAsia="仿宋_GB2312" w:cs="仿宋_GB2312"/>
          <w:i w:val="0"/>
          <w:iCs w:val="0"/>
          <w:caps w:val="0"/>
          <w:color w:val="auto"/>
          <w:spacing w:val="0"/>
          <w:sz w:val="32"/>
          <w:szCs w:val="32"/>
          <w:highlight w:val="none"/>
          <w:shd w:val="clear" w:color="auto" w:fill="FFFFFF"/>
        </w:rPr>
        <w:t>排污特征值系数</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按照《部分小型第三产业排污特征值系数》（附件</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）执行。</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color="auto" w:fill="FFFFFF"/>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六</w:t>
      </w:r>
      <w:r>
        <w:rPr>
          <w:rFonts w:hint="eastAsia" w:ascii="仿宋_GB2312" w:hAnsi="仿宋_GB2312" w:eastAsia="仿宋_GB2312" w:cs="仿宋_GB2312"/>
          <w:i w:val="0"/>
          <w:iCs w:val="0"/>
          <w:caps w:val="0"/>
          <w:color w:val="auto"/>
          <w:spacing w:val="0"/>
          <w:sz w:val="32"/>
          <w:szCs w:val="32"/>
          <w:highlight w:val="none"/>
          <w:shd w:val="clear" w:color="auto" w:fill="FFFFFF"/>
        </w:rPr>
        <w:t>、施工扬尘</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（一般性粉尘）</w:t>
      </w:r>
      <w:r>
        <w:rPr>
          <w:rFonts w:hint="eastAsia" w:ascii="仿宋_GB2312" w:hAnsi="仿宋_GB2312" w:eastAsia="仿宋_GB2312" w:cs="仿宋_GB2312"/>
          <w:i w:val="0"/>
          <w:iCs w:val="0"/>
          <w:caps w:val="0"/>
          <w:color w:val="auto"/>
          <w:spacing w:val="0"/>
          <w:sz w:val="32"/>
          <w:szCs w:val="32"/>
          <w:highlight w:val="none"/>
          <w:shd w:val="clear" w:color="auto" w:fill="FFFFFF"/>
        </w:rPr>
        <w:t>大气污染物应纳税额的计算</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方法</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8" w:leftChars="304" w:firstLine="0" w:firstLineChars="0"/>
        <w:textAlignment w:val="auto"/>
        <w:rPr>
          <w:rFonts w:hint="eastAsia" w:ascii="仿宋_GB2312" w:hAnsi="仿宋_GB2312" w:eastAsia="仿宋_GB2312" w:cs="仿宋_GB2312"/>
          <w:i w:val="0"/>
          <w:iCs w:val="0"/>
          <w:caps w:val="0"/>
          <w:color w:val="auto"/>
          <w:spacing w:val="0"/>
          <w:sz w:val="32"/>
          <w:szCs w:val="32"/>
          <w:highlight w:val="none"/>
          <w:shd w:val="clear" w:color="auto" w:fill="FFFFFF"/>
        </w:rPr>
      </w:pPr>
      <w:r>
        <w:rPr>
          <w:rFonts w:hint="eastAsia" w:ascii="仿宋_GB2312" w:hAnsi="仿宋_GB2312" w:eastAsia="仿宋_GB2312" w:cs="仿宋_GB2312"/>
          <w:i w:val="0"/>
          <w:iCs w:val="0"/>
          <w:caps w:val="0"/>
          <w:color w:val="auto"/>
          <w:spacing w:val="0"/>
          <w:sz w:val="32"/>
          <w:szCs w:val="32"/>
          <w:highlight w:val="none"/>
          <w:shd w:val="clear" w:color="auto" w:fill="FFFFFF"/>
        </w:rPr>
        <w:t>应纳税额=大气污染物</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污染</w:t>
      </w:r>
      <w:r>
        <w:rPr>
          <w:rFonts w:hint="eastAsia" w:ascii="仿宋_GB2312" w:hAnsi="仿宋_GB2312" w:eastAsia="仿宋_GB2312" w:cs="仿宋_GB2312"/>
          <w:i w:val="0"/>
          <w:iCs w:val="0"/>
          <w:caps w:val="0"/>
          <w:color w:val="auto"/>
          <w:spacing w:val="0"/>
          <w:sz w:val="32"/>
          <w:szCs w:val="32"/>
          <w:highlight w:val="none"/>
          <w:shd w:val="clear" w:color="auto" w:fill="FFFFFF"/>
        </w:rPr>
        <w:t>当量数×适用税额</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i w:val="0"/>
          <w:iCs w:val="0"/>
          <w:caps w:val="0"/>
          <w:color w:val="auto"/>
          <w:spacing w:val="0"/>
          <w:sz w:val="32"/>
          <w:szCs w:val="32"/>
          <w:highlight w:val="none"/>
          <w:shd w:val="clear" w:color="auto" w:fill="FFFFFF"/>
        </w:rPr>
        <w:t>大气污染物</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污染</w:t>
      </w:r>
      <w:r>
        <w:rPr>
          <w:rFonts w:hint="eastAsia" w:ascii="仿宋_GB2312" w:hAnsi="仿宋_GB2312" w:eastAsia="仿宋_GB2312" w:cs="仿宋_GB2312"/>
          <w:i w:val="0"/>
          <w:iCs w:val="0"/>
          <w:caps w:val="0"/>
          <w:color w:val="auto"/>
          <w:spacing w:val="0"/>
          <w:sz w:val="32"/>
          <w:szCs w:val="32"/>
          <w:highlight w:val="none"/>
          <w:shd w:val="clear" w:color="auto" w:fill="FFFFFF"/>
        </w:rPr>
        <w:t>当量数=排放量÷</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一般性粉尘</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污染当量值</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rPr>
        <w:t>排放量=（扬尘产生量系数-扬尘排放量削减系数）×月建筑面积</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auto" w:fill="FFFFFF"/>
        </w:rPr>
        <w:t>施工面积</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w:t>
      </w:r>
    </w:p>
    <w:p>
      <w:pPr>
        <w:pStyle w:val="8"/>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扬尘产生量系数和排放量削减系数按照《</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施工扬尘产生、削减系数表</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》（附件</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）执行。</w:t>
      </w:r>
    </w:p>
    <w:p>
      <w:pPr>
        <w:pStyle w:val="13"/>
        <w:numPr>
          <w:ilvl w:val="0"/>
          <w:numId w:val="0"/>
        </w:numPr>
        <w:spacing w:line="600" w:lineRule="exact"/>
        <w:ind w:firstLine="640" w:firstLineChars="200"/>
        <w:jc w:val="left"/>
        <w:rPr>
          <w:rFonts w:hint="eastAsia"/>
          <w:color w:val="auto"/>
          <w:highlight w:val="none"/>
        </w:rPr>
      </w:pPr>
      <w:r>
        <w:rPr>
          <w:rFonts w:hint="eastAsia" w:ascii="仿宋_GB2312" w:hAnsi="仿宋_GB2312" w:eastAsia="仿宋_GB2312" w:cs="仿宋_GB2312"/>
          <w:i w:val="0"/>
          <w:iCs w:val="0"/>
          <w:caps w:val="0"/>
          <w:color w:val="auto"/>
          <w:spacing w:val="0"/>
          <w:sz w:val="32"/>
          <w:szCs w:val="32"/>
          <w:highlight w:val="none"/>
          <w:shd w:val="clear" w:color="auto" w:fill="FFFFFF"/>
        </w:rPr>
        <w:t>建筑面积</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或</w:t>
      </w:r>
      <w:r>
        <w:rPr>
          <w:rFonts w:hint="eastAsia" w:ascii="仿宋_GB2312" w:hAnsi="仿宋_GB2312" w:eastAsia="仿宋_GB2312" w:cs="仿宋_GB2312"/>
          <w:i w:val="0"/>
          <w:iCs w:val="0"/>
          <w:caps w:val="0"/>
          <w:color w:val="auto"/>
          <w:spacing w:val="0"/>
          <w:sz w:val="32"/>
          <w:szCs w:val="32"/>
          <w:highlight w:val="none"/>
          <w:shd w:val="clear" w:color="auto" w:fill="FFFFFF"/>
        </w:rPr>
        <w:t>施工面积</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根据施</w:t>
      </w:r>
      <w:r>
        <w:rPr>
          <w:rFonts w:hint="eastAsia" w:ascii="仿宋_GB2312" w:hAnsi="仿宋_GB2312" w:eastAsia="仿宋_GB2312" w:cs="仿宋_GB2312"/>
          <w:i w:val="0"/>
          <w:iCs w:val="0"/>
          <w:caps w:val="0"/>
          <w:color w:val="auto"/>
          <w:spacing w:val="0"/>
          <w:sz w:val="32"/>
          <w:szCs w:val="32"/>
          <w:highlight w:val="none"/>
          <w:shd w:val="clear" w:color="auto" w:fill="FFFFFF"/>
        </w:rPr>
        <w:t>工许可证</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、施工合同等</w:t>
      </w:r>
      <w:r>
        <w:rPr>
          <w:rFonts w:hint="eastAsia" w:ascii="仿宋_GB2312" w:hAnsi="仿宋_GB2312" w:eastAsia="仿宋_GB2312" w:cs="仿宋_GB2312"/>
          <w:i w:val="0"/>
          <w:iCs w:val="0"/>
          <w:caps w:val="0"/>
          <w:color w:val="auto"/>
          <w:spacing w:val="0"/>
          <w:sz w:val="32"/>
          <w:szCs w:val="32"/>
          <w:highlight w:val="none"/>
          <w:shd w:val="clear" w:color="auto" w:fill="FFFFFF"/>
        </w:rPr>
        <w:t>载明的面积</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以及</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不同工地类型对大气的污染程度分别确定：</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（一）建筑工地按建筑面积计算</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月建筑面积=总建筑面积/建筑总施工月数</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二）市政（拆迁）工地按施工面积计算，施工面积为建设道路红线宽度乘以施工长度，其他为三倍开挖宽度乘以施工长度，市政（拆迁）工地分段施工时按实际施工面积计算。道桥施工工程按市政（拆迁）工程确定施工面积。</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月施工面积=总施工面积/总施工月数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建设工程的施工方</w:t>
      </w:r>
      <w:r>
        <w:rPr>
          <w:rFonts w:hint="eastAsia" w:ascii="仿宋_GB2312" w:hAnsi="仿宋_GB2312" w:eastAsia="仿宋_GB2312" w:cs="仿宋_GB2312"/>
          <w:b w:val="0"/>
          <w:bCs w:val="0"/>
          <w:color w:val="auto"/>
          <w:kern w:val="0"/>
          <w:sz w:val="32"/>
          <w:szCs w:val="32"/>
          <w:highlight w:val="none"/>
          <w:shd w:val="clear" w:color="auto" w:fill="FFFFFF"/>
          <w:lang w:eastAsia="zh-CN" w:bidi="ar"/>
        </w:rPr>
        <w:t>按照</w:t>
      </w:r>
      <w:r>
        <w:rPr>
          <w:rFonts w:hint="eastAsia" w:ascii="仿宋_GB2312" w:hAnsi="仿宋_GB2312" w:eastAsia="仿宋_GB2312" w:cs="仿宋_GB2312"/>
          <w:b w:val="0"/>
          <w:bCs w:val="0"/>
          <w:color w:val="auto"/>
          <w:kern w:val="0"/>
          <w:sz w:val="32"/>
          <w:szCs w:val="32"/>
          <w:highlight w:val="none"/>
          <w:shd w:val="clear" w:color="auto" w:fill="FFFFFF"/>
          <w:lang w:bidi="ar"/>
        </w:rPr>
        <w:t>施工许可证</w:t>
      </w:r>
      <w:r>
        <w:rPr>
          <w:rFonts w:hint="eastAsia" w:ascii="仿宋_GB2312" w:hAnsi="仿宋_GB2312" w:eastAsia="仿宋_GB2312" w:cs="仿宋_GB2312"/>
          <w:b w:val="0"/>
          <w:bCs w:val="0"/>
          <w:color w:val="auto"/>
          <w:kern w:val="0"/>
          <w:sz w:val="32"/>
          <w:szCs w:val="32"/>
          <w:highlight w:val="none"/>
          <w:shd w:val="clear" w:color="auto" w:fill="FFFFFF"/>
          <w:lang w:eastAsia="zh-CN" w:bidi="ar"/>
        </w:rPr>
        <w:t>、施工合同</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等</w:t>
      </w:r>
      <w:r>
        <w:rPr>
          <w:rFonts w:hint="eastAsia" w:ascii="仿宋_GB2312" w:hAnsi="仿宋_GB2312" w:eastAsia="仿宋_GB2312" w:cs="仿宋_GB2312"/>
          <w:b w:val="0"/>
          <w:bCs w:val="0"/>
          <w:color w:val="auto"/>
          <w:kern w:val="0"/>
          <w:sz w:val="32"/>
          <w:szCs w:val="32"/>
          <w:highlight w:val="none"/>
          <w:shd w:val="clear" w:color="auto" w:fill="FFFFFF"/>
          <w:lang w:eastAsia="zh-CN" w:bidi="ar"/>
        </w:rPr>
        <w:t>载明的主体确定。工程施工依法采取总分包方式的，分包的部分可从</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总建筑面积或施工面积中扣减</w:t>
      </w:r>
      <w:r>
        <w:rPr>
          <w:rFonts w:hint="eastAsia" w:ascii="仿宋_GB2312" w:hAnsi="仿宋_GB2312" w:eastAsia="仿宋_GB2312" w:cs="仿宋_GB2312"/>
          <w:b w:val="0"/>
          <w:bCs w:val="0"/>
          <w:color w:val="auto"/>
          <w:kern w:val="0"/>
          <w:sz w:val="32"/>
          <w:szCs w:val="32"/>
          <w:highlight w:val="none"/>
          <w:shd w:val="clear" w:color="auto" w:fill="FFFFFF"/>
          <w:lang w:eastAsia="zh-CN" w:bidi="ar"/>
        </w:rPr>
        <w:t>，分包部分的环保税由分包方负责缴纳</w:t>
      </w:r>
      <w:r>
        <w:rPr>
          <w:rFonts w:hint="eastAsia" w:ascii="仿宋_GB2312" w:hAnsi="仿宋_GB2312" w:eastAsia="仿宋_GB2312" w:cs="仿宋_GB2312"/>
          <w:b w:val="0"/>
          <w:bCs w:val="0"/>
          <w:color w:val="auto"/>
          <w:kern w:val="0"/>
          <w:sz w:val="32"/>
          <w:szCs w:val="32"/>
          <w:highlight w:val="none"/>
          <w:shd w:val="clear" w:color="auto" w:fill="FFFFFF"/>
          <w:lang w:bidi="ar"/>
        </w:rPr>
        <w:t>。</w:t>
      </w:r>
      <w:r>
        <w:rPr>
          <w:rFonts w:hint="eastAsia" w:ascii="仿宋_GB2312" w:hAnsi="仿宋_GB2312" w:eastAsia="仿宋_GB2312" w:cs="仿宋_GB2312"/>
          <w:color w:val="auto"/>
          <w:sz w:val="32"/>
          <w:szCs w:val="32"/>
          <w:highlight w:val="none"/>
          <w:lang w:val="en-US" w:eastAsia="zh-CN"/>
        </w:rPr>
        <w:t>纳税人有多个工程项目的，应分别计算。</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bidi="ar"/>
        </w:rPr>
        <w:t>施工</w:t>
      </w:r>
      <w:r>
        <w:rPr>
          <w:rFonts w:hint="eastAsia" w:ascii="仿宋_GB2312" w:hAnsi="仿宋_GB2312" w:eastAsia="仿宋_GB2312" w:cs="仿宋_GB2312"/>
          <w:color w:val="auto"/>
          <w:kern w:val="0"/>
          <w:sz w:val="32"/>
          <w:szCs w:val="32"/>
          <w:highlight w:val="none"/>
          <w:shd w:val="clear" w:color="auto" w:fill="FFFFFF"/>
          <w:lang w:eastAsia="zh-CN" w:bidi="ar"/>
        </w:rPr>
        <w:t>工期</w:t>
      </w:r>
      <w:r>
        <w:rPr>
          <w:rFonts w:hint="eastAsia" w:ascii="仿宋_GB2312" w:hAnsi="仿宋_GB2312" w:eastAsia="仿宋_GB2312" w:cs="仿宋_GB2312"/>
          <w:color w:val="auto"/>
          <w:kern w:val="0"/>
          <w:sz w:val="32"/>
          <w:szCs w:val="32"/>
          <w:highlight w:val="none"/>
          <w:shd w:val="clear" w:color="auto" w:fill="FFFFFF"/>
          <w:lang w:bidi="ar"/>
        </w:rPr>
        <w:t>按照施工许可证</w:t>
      </w:r>
      <w:r>
        <w:rPr>
          <w:rFonts w:hint="eastAsia" w:ascii="仿宋_GB2312" w:hAnsi="仿宋_GB2312" w:eastAsia="仿宋_GB2312" w:cs="仿宋_GB2312"/>
          <w:color w:val="auto"/>
          <w:kern w:val="0"/>
          <w:sz w:val="32"/>
          <w:szCs w:val="32"/>
          <w:highlight w:val="none"/>
          <w:shd w:val="clear" w:color="auto" w:fill="FFFFFF"/>
          <w:lang w:eastAsia="zh-CN" w:bidi="ar"/>
        </w:rPr>
        <w:t>、</w:t>
      </w:r>
      <w:r>
        <w:rPr>
          <w:rFonts w:hint="eastAsia" w:ascii="仿宋_GB2312" w:hAnsi="仿宋_GB2312" w:eastAsia="仿宋_GB2312" w:cs="仿宋_GB2312"/>
          <w:color w:val="auto"/>
          <w:kern w:val="0"/>
          <w:sz w:val="32"/>
          <w:szCs w:val="32"/>
          <w:highlight w:val="none"/>
          <w:shd w:val="clear" w:color="auto" w:fill="FFFFFF"/>
          <w:lang w:bidi="ar"/>
        </w:rPr>
        <w:t>施工合同</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等</w:t>
      </w:r>
      <w:r>
        <w:rPr>
          <w:rFonts w:hint="eastAsia" w:ascii="仿宋_GB2312" w:hAnsi="仿宋_GB2312" w:eastAsia="仿宋_GB2312" w:cs="仿宋_GB2312"/>
          <w:color w:val="auto"/>
          <w:kern w:val="0"/>
          <w:sz w:val="32"/>
          <w:szCs w:val="32"/>
          <w:highlight w:val="none"/>
          <w:shd w:val="clear" w:color="auto" w:fill="FFFFFF"/>
          <w:lang w:bidi="ar"/>
        </w:rPr>
        <w:t>载明的开工日期、竣工日期或合同工期天数确定</w:t>
      </w:r>
      <w:r>
        <w:rPr>
          <w:rFonts w:hint="eastAsia" w:ascii="仿宋_GB2312" w:hAnsi="仿宋_GB2312" w:eastAsia="仿宋_GB2312" w:cs="仿宋_GB2312"/>
          <w:color w:val="auto"/>
          <w:kern w:val="0"/>
          <w:sz w:val="32"/>
          <w:szCs w:val="32"/>
          <w:highlight w:val="none"/>
          <w:shd w:val="clear" w:color="auto" w:fill="FFFFFF"/>
          <w:lang w:eastAsia="zh-CN" w:bidi="ar"/>
        </w:rPr>
        <w:t>，并</w:t>
      </w:r>
      <w:r>
        <w:rPr>
          <w:rFonts w:hint="eastAsia" w:ascii="仿宋_GB2312" w:hAnsi="仿宋_GB2312" w:eastAsia="仿宋_GB2312" w:cs="仿宋_GB2312"/>
          <w:color w:val="auto"/>
          <w:kern w:val="0"/>
          <w:sz w:val="32"/>
          <w:szCs w:val="32"/>
          <w:highlight w:val="none"/>
          <w:shd w:val="clear" w:color="auto" w:fill="FFFFFF"/>
          <w:lang w:val="en-US" w:eastAsia="zh-CN" w:bidi="ar"/>
        </w:rPr>
        <w:t>按月进行核算。</w:t>
      </w:r>
    </w:p>
    <w:p>
      <w:pPr>
        <w:pStyle w:val="13"/>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施工面积、施工工期与</w:t>
      </w:r>
      <w:r>
        <w:rPr>
          <w:rFonts w:hint="eastAsia" w:ascii="仿宋_GB2312" w:hAnsi="仿宋_GB2312" w:eastAsia="仿宋_GB2312" w:cs="仿宋_GB2312"/>
          <w:color w:val="auto"/>
          <w:kern w:val="0"/>
          <w:sz w:val="32"/>
          <w:szCs w:val="32"/>
          <w:highlight w:val="none"/>
          <w:shd w:val="clear" w:color="auto" w:fill="FFFFFF"/>
          <w:lang w:bidi="ar"/>
        </w:rPr>
        <w:t>施工许可证</w:t>
      </w:r>
      <w:r>
        <w:rPr>
          <w:rFonts w:hint="eastAsia" w:ascii="仿宋_GB2312" w:hAnsi="仿宋_GB2312" w:eastAsia="仿宋_GB2312" w:cs="仿宋_GB2312"/>
          <w:color w:val="auto"/>
          <w:kern w:val="0"/>
          <w:sz w:val="32"/>
          <w:szCs w:val="32"/>
          <w:highlight w:val="none"/>
          <w:shd w:val="clear" w:color="auto" w:fill="FFFFFF"/>
          <w:lang w:eastAsia="zh-CN" w:bidi="ar"/>
        </w:rPr>
        <w:t>、</w:t>
      </w:r>
      <w:r>
        <w:rPr>
          <w:rFonts w:hint="eastAsia" w:ascii="仿宋_GB2312" w:hAnsi="仿宋_GB2312" w:eastAsia="仿宋_GB2312" w:cs="仿宋_GB2312"/>
          <w:color w:val="auto"/>
          <w:kern w:val="0"/>
          <w:sz w:val="32"/>
          <w:szCs w:val="32"/>
          <w:highlight w:val="none"/>
          <w:shd w:val="clear" w:color="auto" w:fill="FFFFFF"/>
          <w:lang w:bidi="ar"/>
        </w:rPr>
        <w:t>施工合同</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等</w:t>
      </w:r>
      <w:r>
        <w:rPr>
          <w:rFonts w:hint="eastAsia" w:ascii="仿宋_GB2312" w:hAnsi="仿宋_GB2312" w:eastAsia="仿宋_GB2312" w:cs="仿宋_GB2312"/>
          <w:color w:val="auto"/>
          <w:kern w:val="0"/>
          <w:sz w:val="32"/>
          <w:szCs w:val="32"/>
          <w:highlight w:val="none"/>
          <w:shd w:val="clear" w:color="auto" w:fill="FFFFFF"/>
          <w:lang w:bidi="ar"/>
        </w:rPr>
        <w:t>载明的</w:t>
      </w:r>
      <w:r>
        <w:rPr>
          <w:rFonts w:hint="eastAsia" w:ascii="仿宋_GB2312" w:hAnsi="仿宋_GB2312" w:eastAsia="仿宋_GB2312" w:cs="仿宋_GB2312"/>
          <w:color w:val="auto"/>
          <w:kern w:val="0"/>
          <w:sz w:val="32"/>
          <w:szCs w:val="32"/>
          <w:highlight w:val="none"/>
          <w:shd w:val="clear" w:color="auto" w:fill="FFFFFF"/>
          <w:lang w:eastAsia="zh-CN" w:bidi="ar"/>
        </w:rPr>
        <w:t>不一致的，以实际</w:t>
      </w:r>
      <w:r>
        <w:rPr>
          <w:rFonts w:hint="eastAsia" w:ascii="仿宋_GB2312" w:hAnsi="仿宋_GB2312" w:eastAsia="仿宋_GB2312" w:cs="仿宋_GB2312"/>
          <w:color w:val="auto"/>
          <w:kern w:val="0"/>
          <w:sz w:val="32"/>
          <w:szCs w:val="32"/>
          <w:highlight w:val="none"/>
          <w:shd w:val="clear" w:color="auto" w:fill="FFFFFF"/>
          <w:lang w:val="en-US" w:eastAsia="zh-CN" w:bidi="ar"/>
        </w:rPr>
        <w:t>施工面积、施工工期为准。</w:t>
      </w:r>
    </w:p>
    <w:p>
      <w:pPr>
        <w:pStyle w:val="13"/>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七、本公告未尽事宜，按照现行法律法规等规定执行。国家及自治区相关政策调整的，从其规定。</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八、</w:t>
      </w: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t>本公告自   年 月 日起施行。</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《国家税务总局广西壮族自治区税务局关于明确部分行业环境保护税污染物排放量计算方法和纳税申报有关事项的公告》（2019年第13号）同时废止。</w:t>
      </w:r>
    </w:p>
    <w:p>
      <w:pPr>
        <w:pStyle w:val="1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特此公告。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textAlignment w:val="auto"/>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附件：1.禽畜养殖业、小型企业和第三产业水污染物污染当量值</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1916" w:leftChars="760" w:hanging="320" w:hangingChars="100"/>
        <w:textAlignment w:val="auto"/>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2.部分小型第三产业排污特征值系数</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1916" w:leftChars="760" w:hanging="320" w:hangingChars="100"/>
        <w:textAlignment w:val="auto"/>
        <w:rPr>
          <w:rFonts w:hint="eastAsia" w:ascii="仿宋_GB2312" w:hAnsi="仿宋_GB2312" w:eastAsia="仿宋_GB2312" w:cs="仿宋_GB2312"/>
          <w:i w:val="0"/>
          <w:iCs w:val="0"/>
          <w:caps w:val="0"/>
          <w:color w:val="auto"/>
          <w:spacing w:val="0"/>
          <w:kern w:val="2"/>
          <w:sz w:val="32"/>
          <w:szCs w:val="32"/>
          <w:highlight w:val="none"/>
          <w:shd w:val="clear" w:color="auto" w:fill="FFFFFF"/>
          <w:lang w:val="zh-CN" w:eastAsia="zh-CN" w:bidi="ar-SA"/>
        </w:rPr>
      </w:pP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3.施工扬尘产生、削减系数表</w:t>
      </w:r>
    </w:p>
    <w:p>
      <w:pPr>
        <w:keepNext w:val="0"/>
        <w:keepLines w:val="0"/>
        <w:pageBreakBefore w:val="0"/>
        <w:widowControl w:val="0"/>
        <w:kinsoku/>
        <w:wordWrap/>
        <w:overflowPunct/>
        <w:topLinePunct w:val="0"/>
        <w:autoSpaceDE/>
        <w:autoSpaceDN/>
        <w:bidi w:val="0"/>
        <w:adjustRightInd/>
        <w:snapToGrid/>
        <w:spacing w:line="600" w:lineRule="exact"/>
        <w:ind w:firstLine="0"/>
        <w:jc w:val="left"/>
        <w:textAlignment w:val="auto"/>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pPr>
    </w:p>
    <w:p>
      <w:pPr>
        <w:pStyle w:val="2"/>
        <w:rPr>
          <w:rFonts w:hint="eastAsia"/>
          <w:lang w:val="en-US" w:eastAsia="zh-CN"/>
        </w:rPr>
      </w:pPr>
    </w:p>
    <w:p>
      <w:pPr>
        <w:spacing w:line="600" w:lineRule="exact"/>
        <w:ind w:firstLine="560"/>
        <w:jc w:val="left"/>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 xml:space="preserve">             国家税务总局广西壮族自治区税务局</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br w:type="textWrapping"/>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 xml:space="preserve">                               </w:t>
      </w:r>
      <w:bookmarkStart w:id="0" w:name="_GoBack"/>
      <w:bookmarkEnd w:id="0"/>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 xml:space="preserve">年  月  日 </w:t>
      </w:r>
    </w:p>
    <w:p>
      <w:pPr>
        <w:pStyle w:val="13"/>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pPr>
    </w:p>
    <w:p>
      <w:pPr>
        <w:pStyle w:val="13"/>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pPr>
    </w:p>
    <w:p>
      <w:pPr>
        <w:pStyle w:val="13"/>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pPr>
    </w:p>
    <w:p>
      <w:pPr>
        <w:pStyle w:val="13"/>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pPr>
    </w:p>
    <w:p>
      <w:pPr>
        <w:pStyle w:val="13"/>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pPr>
    </w:p>
    <w:p>
      <w:pPr>
        <w:pStyle w:val="13"/>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pPr>
    </w:p>
    <w:p>
      <w:pPr>
        <w:pStyle w:val="13"/>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pPr>
    </w:p>
    <w:p>
      <w:pPr>
        <w:pStyle w:val="13"/>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pPr>
    </w:p>
    <w:p>
      <w:pPr>
        <w:widowControl/>
        <w:spacing w:line="640" w:lineRule="exact"/>
        <w:jc w:val="left"/>
        <w:rPr>
          <w:rFonts w:hint="eastAsia" w:ascii="黑体" w:hAnsi="黑体" w:eastAsia="黑体" w:cs="仿宋"/>
          <w:color w:val="000000"/>
          <w:spacing w:val="15"/>
          <w:kern w:val="0"/>
          <w:sz w:val="28"/>
          <w:szCs w:val="32"/>
        </w:rPr>
      </w:pPr>
    </w:p>
    <w:p>
      <w:pPr>
        <w:widowControl/>
        <w:spacing w:line="640" w:lineRule="exact"/>
        <w:jc w:val="left"/>
        <w:rPr>
          <w:rFonts w:ascii="黑体" w:hAnsi="黑体" w:eastAsia="黑体" w:cs="仿宋"/>
          <w:color w:val="000000"/>
          <w:spacing w:val="15"/>
          <w:kern w:val="0"/>
          <w:sz w:val="32"/>
          <w:szCs w:val="32"/>
        </w:rPr>
      </w:pPr>
      <w:r>
        <w:rPr>
          <w:rFonts w:hint="eastAsia" w:ascii="黑体" w:hAnsi="黑体" w:eastAsia="黑体" w:cs="仿宋"/>
          <w:color w:val="000000"/>
          <w:spacing w:val="15"/>
          <w:kern w:val="0"/>
          <w:sz w:val="32"/>
          <w:szCs w:val="32"/>
        </w:rPr>
        <w:t>附件1</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rFonts w:hint="eastAsia" w:ascii="方正小标宋_GBK" w:hAnsi="Calibri" w:eastAsia="方正小标宋_GBK" w:cs="Times New Roman"/>
          <w:color w:val="auto"/>
          <w:spacing w:val="0"/>
          <w:kern w:val="2"/>
          <w:sz w:val="36"/>
          <w:szCs w:val="36"/>
          <w:lang w:val="en-US" w:eastAsia="zh-CN" w:bidi="ar-SA"/>
        </w:rPr>
      </w:pPr>
      <w:r>
        <w:t> </w:t>
      </w:r>
      <w:r>
        <w:rPr>
          <w:rFonts w:hint="eastAsia"/>
          <w:lang w:val="en-US" w:eastAsia="zh-CN"/>
        </w:rPr>
        <w:t xml:space="preserve">   </w:t>
      </w:r>
      <w:r>
        <w:t xml:space="preserve"> </w:t>
      </w:r>
      <w:r>
        <w:rPr>
          <w:rFonts w:hint="eastAsia" w:ascii="方正小标宋_GBK" w:hAnsi="Calibri" w:eastAsia="方正小标宋_GBK" w:cs="Times New Roman"/>
          <w:color w:val="000000"/>
          <w:spacing w:val="0"/>
          <w:kern w:val="2"/>
          <w:sz w:val="36"/>
          <w:szCs w:val="36"/>
          <w:lang w:val="en-US" w:eastAsia="zh-CN" w:bidi="ar-SA"/>
        </w:rPr>
        <w:t>禽畜养殖业、小型企业和第三产业水污染物</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ascii="Times New Roman" w:hAnsi="Times New Roman" w:eastAsia="仿宋"/>
          <w:kern w:val="2"/>
          <w:lang w:bidi="ar-SA"/>
        </w:rPr>
      </w:pPr>
      <w:r>
        <w:rPr>
          <w:rFonts w:hint="default" w:ascii="Times New Roman" w:hAnsi="Times New Roman" w:eastAsia="仿宋" w:cs="Times New Roman"/>
          <w:color w:val="000000"/>
          <w:spacing w:val="0"/>
          <w:kern w:val="2"/>
          <w:sz w:val="24"/>
          <w:szCs w:val="24"/>
          <w:lang w:val="en-US" w:eastAsia="zh-CN" w:bidi="ar-SA"/>
        </w:rPr>
        <w:t>污染当量值</w:t>
      </w:r>
      <w:r>
        <w:rPr>
          <w:rFonts w:ascii="Times New Roman" w:hAnsi="Times New Roman" w:eastAsia="仿宋"/>
          <w:kern w:val="2"/>
          <w:lang w:bidi="ar-SA"/>
        </w:rPr>
        <w:t>（本表仅适用于计算无法进行实际监测或者物料衡算的畜禽养殖业、小型企业和第三产业等小型排污者的水污染物污染当量数）</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70" w:type="dxa"/>
          <w:bottom w:w="0" w:type="dxa"/>
          <w:right w:w="70" w:type="dxa"/>
        </w:tblCellMar>
      </w:tblPr>
      <w:tblGrid>
        <w:gridCol w:w="2198"/>
        <w:gridCol w:w="1982"/>
        <w:gridCol w:w="1419"/>
        <w:gridCol w:w="28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trHeight w:val="1" w:hRule="atLeast"/>
          <w:jc w:val="center"/>
        </w:trPr>
        <w:tc>
          <w:tcPr>
            <w:tcW w:w="219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b/>
                <w:sz w:val="24"/>
                <w:szCs w:val="24"/>
              </w:rPr>
              <w:t>类型</w:t>
            </w:r>
          </w:p>
        </w:tc>
        <w:tc>
          <w:tcPr>
            <w:tcW w:w="3401" w:type="dxa"/>
            <w:gridSpan w:val="2"/>
            <w:tcBorders>
              <w:top w:val="single" w:color="000000" w:sz="4" w:space="0"/>
              <w:left w:val="nil"/>
              <w:bottom w:val="single" w:color="000000" w:sz="4" w:space="0"/>
              <w:right w:val="single" w:color="000000" w:sz="4" w:space="0"/>
            </w:tcBorders>
            <w:shd w:val="clear" w:color="auto" w:fill="FFFFFF"/>
            <w:noWrap w:val="0"/>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b/>
                <w:sz w:val="24"/>
                <w:szCs w:val="24"/>
              </w:rPr>
              <w:t>污染当量值</w:t>
            </w:r>
          </w:p>
        </w:tc>
        <w:tc>
          <w:tcPr>
            <w:tcW w:w="2847" w:type="dxa"/>
            <w:tcBorders>
              <w:top w:val="single" w:color="000000" w:sz="4" w:space="0"/>
              <w:left w:val="nil"/>
              <w:bottom w:val="single" w:color="000000" w:sz="4" w:space="0"/>
              <w:right w:val="single" w:color="000000" w:sz="4" w:space="0"/>
            </w:tcBorders>
            <w:shd w:val="clear" w:color="auto" w:fill="FFFFFF"/>
            <w:noWrap w:val="0"/>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b/>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trHeight w:val="1" w:hRule="atLeast"/>
          <w:jc w:val="center"/>
        </w:trPr>
        <w:tc>
          <w:tcPr>
            <w:tcW w:w="2199"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禽畜养殖场</w:t>
            </w:r>
          </w:p>
        </w:tc>
        <w:tc>
          <w:tcPr>
            <w:tcW w:w="1982" w:type="dxa"/>
            <w:tcBorders>
              <w:top w:val="nil"/>
              <w:left w:val="nil"/>
              <w:bottom w:val="single" w:color="000000" w:sz="4" w:space="0"/>
              <w:right w:val="single" w:color="000000" w:sz="4" w:space="0"/>
            </w:tcBorders>
            <w:shd w:val="clear" w:color="auto" w:fill="FFFFFF"/>
            <w:noWrap w:val="0"/>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1.牛</w:t>
            </w:r>
          </w:p>
        </w:tc>
        <w:tc>
          <w:tcPr>
            <w:tcW w:w="1419" w:type="dxa"/>
            <w:tcBorders>
              <w:top w:val="nil"/>
              <w:left w:val="nil"/>
              <w:bottom w:val="single" w:color="000000" w:sz="4" w:space="0"/>
              <w:right w:val="single" w:color="000000" w:sz="4" w:space="0"/>
            </w:tcBorders>
            <w:shd w:val="clear" w:color="auto" w:fill="FFFFFF"/>
            <w:noWrap w:val="0"/>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0.1头</w:t>
            </w:r>
          </w:p>
        </w:tc>
        <w:tc>
          <w:tcPr>
            <w:tcW w:w="2847" w:type="dxa"/>
            <w:vMerge w:val="restart"/>
            <w:tcBorders>
              <w:top w:val="single" w:color="000000" w:sz="4" w:space="0"/>
              <w:left w:val="nil"/>
              <w:bottom w:val="single" w:color="000000" w:sz="4" w:space="0"/>
              <w:right w:val="single" w:color="000000" w:sz="4" w:space="0"/>
            </w:tcBorders>
            <w:shd w:val="clear" w:color="auto" w:fill="FFFFFF"/>
            <w:noWrap w:val="0"/>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仅对存栏规模大于50头牛、500头猪、5000羽鸡鸭等的禽畜养殖场征收。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trHeight w:val="1" w:hRule="atLeast"/>
          <w:jc w:val="center"/>
        </w:trPr>
        <w:tc>
          <w:tcPr>
            <w:tcW w:w="2199"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hint="eastAsia" w:ascii="宋体" w:hAnsi="宋体" w:eastAsia="宋体" w:cs="宋体"/>
                <w:sz w:val="24"/>
                <w:szCs w:val="24"/>
              </w:rPr>
            </w:pPr>
          </w:p>
        </w:tc>
        <w:tc>
          <w:tcPr>
            <w:tcW w:w="1982" w:type="dxa"/>
            <w:tcBorders>
              <w:top w:val="nil"/>
              <w:left w:val="nil"/>
              <w:bottom w:val="single" w:color="000000" w:sz="4" w:space="0"/>
              <w:right w:val="single" w:color="000000" w:sz="4" w:space="0"/>
            </w:tcBorders>
            <w:shd w:val="clear" w:color="auto" w:fill="FFFFFF"/>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firstLine="0"/>
              <w:jc w:val="left"/>
              <w:rPr>
                <w:rFonts w:hint="eastAsia" w:ascii="宋体" w:hAnsi="宋体" w:eastAsia="宋体" w:cs="宋体"/>
                <w:sz w:val="24"/>
                <w:szCs w:val="24"/>
              </w:rPr>
            </w:pPr>
            <w:r>
              <w:rPr>
                <w:rFonts w:hint="eastAsia" w:ascii="宋体" w:hAnsi="宋体" w:eastAsia="宋体" w:cs="宋体"/>
                <w:sz w:val="24"/>
                <w:szCs w:val="24"/>
              </w:rPr>
              <w:t>2.猪</w:t>
            </w:r>
          </w:p>
        </w:tc>
        <w:tc>
          <w:tcPr>
            <w:tcW w:w="1419" w:type="dxa"/>
            <w:tcBorders>
              <w:top w:val="nil"/>
              <w:left w:val="nil"/>
              <w:bottom w:val="single" w:color="000000" w:sz="4" w:space="0"/>
              <w:right w:val="single" w:color="000000" w:sz="4" w:space="0"/>
            </w:tcBorders>
            <w:shd w:val="clear" w:color="auto" w:fill="FFFFFF"/>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left"/>
              <w:rPr>
                <w:rFonts w:hint="eastAsia" w:ascii="宋体" w:hAnsi="宋体" w:eastAsia="宋体" w:cs="宋体"/>
                <w:sz w:val="24"/>
                <w:szCs w:val="24"/>
              </w:rPr>
            </w:pPr>
            <w:r>
              <w:rPr>
                <w:rFonts w:hint="eastAsia" w:ascii="宋体" w:hAnsi="宋体" w:eastAsia="宋体" w:cs="宋体"/>
                <w:sz w:val="24"/>
                <w:szCs w:val="24"/>
              </w:rPr>
              <w:t>1头</w:t>
            </w:r>
          </w:p>
        </w:tc>
        <w:tc>
          <w:tcPr>
            <w:tcW w:w="2847" w:type="dxa"/>
            <w:vMerge w:val="continue"/>
            <w:tcBorders>
              <w:top w:val="single" w:color="000000" w:sz="4" w:space="0"/>
              <w:left w:val="nil"/>
              <w:bottom w:val="single" w:color="000000" w:sz="4" w:space="0"/>
              <w:right w:val="single" w:color="000000" w:sz="4" w:space="0"/>
            </w:tcBorders>
            <w:shd w:val="clear" w:color="auto" w:fill="FFFFFF"/>
            <w:noWrap w:val="0"/>
            <w:vAlign w:val="top"/>
          </w:tcPr>
          <w:p>
            <w:pPr>
              <w:spacing w:line="360" w:lineRule="exact"/>
              <w:jc w:val="center"/>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trHeight w:val="1" w:hRule="atLeast"/>
          <w:jc w:val="center"/>
        </w:trPr>
        <w:tc>
          <w:tcPr>
            <w:tcW w:w="2199"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hint="eastAsia" w:ascii="宋体" w:hAnsi="宋体" w:eastAsia="宋体" w:cs="宋体"/>
                <w:sz w:val="24"/>
                <w:szCs w:val="24"/>
              </w:rPr>
            </w:pPr>
          </w:p>
        </w:tc>
        <w:tc>
          <w:tcPr>
            <w:tcW w:w="1982" w:type="dxa"/>
            <w:tcBorders>
              <w:top w:val="nil"/>
              <w:left w:val="nil"/>
              <w:bottom w:val="single" w:color="000000" w:sz="4" w:space="0"/>
              <w:right w:val="single" w:color="000000" w:sz="4" w:space="0"/>
            </w:tcBorders>
            <w:shd w:val="clear" w:color="auto" w:fill="FFFFFF"/>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both"/>
              <w:rPr>
                <w:rFonts w:hint="eastAsia" w:ascii="宋体" w:hAnsi="宋体" w:eastAsia="宋体" w:cs="宋体"/>
                <w:sz w:val="24"/>
                <w:szCs w:val="24"/>
              </w:rPr>
            </w:pPr>
            <w:r>
              <w:rPr>
                <w:rFonts w:hint="eastAsia" w:ascii="宋体" w:hAnsi="宋体" w:eastAsia="宋体" w:cs="宋体"/>
                <w:sz w:val="24"/>
                <w:szCs w:val="24"/>
              </w:rPr>
              <w:t>3.鸡、鸭等家禽</w:t>
            </w:r>
          </w:p>
        </w:tc>
        <w:tc>
          <w:tcPr>
            <w:tcW w:w="1419" w:type="dxa"/>
            <w:tcBorders>
              <w:top w:val="nil"/>
              <w:left w:val="nil"/>
              <w:bottom w:val="single" w:color="000000" w:sz="4" w:space="0"/>
              <w:right w:val="single" w:color="000000" w:sz="4" w:space="0"/>
            </w:tcBorders>
            <w:shd w:val="clear" w:color="auto" w:fill="FFFFFF"/>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left"/>
              <w:rPr>
                <w:rFonts w:hint="eastAsia" w:ascii="宋体" w:hAnsi="宋体" w:eastAsia="宋体" w:cs="宋体"/>
                <w:sz w:val="24"/>
                <w:szCs w:val="24"/>
              </w:rPr>
            </w:pPr>
            <w:r>
              <w:rPr>
                <w:rFonts w:hint="eastAsia" w:ascii="宋体" w:hAnsi="宋体" w:eastAsia="宋体" w:cs="宋体"/>
                <w:sz w:val="24"/>
                <w:szCs w:val="24"/>
              </w:rPr>
              <w:t>30羽</w:t>
            </w:r>
          </w:p>
        </w:tc>
        <w:tc>
          <w:tcPr>
            <w:tcW w:w="2847" w:type="dxa"/>
            <w:vMerge w:val="continue"/>
            <w:tcBorders>
              <w:top w:val="single" w:color="000000" w:sz="4" w:space="0"/>
              <w:left w:val="nil"/>
              <w:bottom w:val="single" w:color="000000" w:sz="4" w:space="0"/>
              <w:right w:val="single" w:color="000000" w:sz="4" w:space="0"/>
            </w:tcBorders>
            <w:shd w:val="clear" w:color="auto" w:fill="FFFFFF"/>
            <w:noWrap w:val="0"/>
            <w:vAlign w:val="top"/>
          </w:tcPr>
          <w:p>
            <w:pPr>
              <w:spacing w:line="360" w:lineRule="exact"/>
              <w:jc w:val="center"/>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trHeight w:val="441" w:hRule="atLeast"/>
          <w:jc w:val="center"/>
        </w:trPr>
        <w:tc>
          <w:tcPr>
            <w:tcW w:w="2199" w:type="dxa"/>
            <w:tcBorders>
              <w:top w:val="nil"/>
              <w:left w:val="single" w:color="000000" w:sz="4" w:space="0"/>
              <w:bottom w:val="single" w:color="000000" w:sz="4" w:space="0"/>
              <w:right w:val="single" w:color="000000" w:sz="4" w:space="0"/>
            </w:tcBorders>
            <w:shd w:val="clear" w:color="auto" w:fill="FFFFFF"/>
            <w:noWrap w:val="0"/>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4.小型企业</w:t>
            </w:r>
          </w:p>
        </w:tc>
        <w:tc>
          <w:tcPr>
            <w:tcW w:w="3401" w:type="dxa"/>
            <w:gridSpan w:val="2"/>
            <w:tcBorders>
              <w:top w:val="nil"/>
              <w:left w:val="nil"/>
              <w:bottom w:val="single" w:color="000000" w:sz="4" w:space="0"/>
              <w:right w:val="single" w:color="000000" w:sz="4" w:space="0"/>
            </w:tcBorders>
            <w:shd w:val="clear" w:color="auto" w:fill="FFFFFF"/>
            <w:noWrap w:val="0"/>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1.8吨污水</w:t>
            </w:r>
          </w:p>
        </w:tc>
        <w:tc>
          <w:tcPr>
            <w:tcW w:w="2847" w:type="dxa"/>
            <w:tcBorders>
              <w:top w:val="nil"/>
              <w:left w:val="nil"/>
              <w:bottom w:val="single" w:color="000000" w:sz="4" w:space="0"/>
              <w:right w:val="single" w:color="000000" w:sz="4" w:space="0"/>
            </w:tcBorders>
            <w:shd w:val="clear" w:color="auto" w:fill="FFFFFF"/>
            <w:noWrap w:val="0"/>
            <w:vAlign w:val="top"/>
          </w:tcPr>
          <w:p>
            <w:pPr>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trHeight w:val="1" w:hRule="atLeast"/>
          <w:jc w:val="center"/>
        </w:trPr>
        <w:tc>
          <w:tcPr>
            <w:tcW w:w="2199" w:type="dxa"/>
            <w:tcBorders>
              <w:top w:val="nil"/>
              <w:left w:val="single" w:color="000000" w:sz="4" w:space="0"/>
              <w:bottom w:val="single" w:color="000000" w:sz="4" w:space="0"/>
              <w:right w:val="single" w:color="000000" w:sz="4" w:space="0"/>
            </w:tcBorders>
            <w:shd w:val="clear" w:color="auto" w:fill="FFFFFF"/>
            <w:noWrap w:val="0"/>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5.饮食娱乐服务业</w:t>
            </w:r>
          </w:p>
        </w:tc>
        <w:tc>
          <w:tcPr>
            <w:tcW w:w="3401" w:type="dxa"/>
            <w:gridSpan w:val="2"/>
            <w:tcBorders>
              <w:top w:val="nil"/>
              <w:left w:val="nil"/>
              <w:bottom w:val="single" w:color="000000" w:sz="4" w:space="0"/>
              <w:right w:val="single" w:color="000000" w:sz="4" w:space="0"/>
            </w:tcBorders>
            <w:shd w:val="clear" w:color="auto" w:fill="FFFFFF"/>
            <w:noWrap w:val="0"/>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0.5吨污水</w:t>
            </w:r>
          </w:p>
        </w:tc>
        <w:tc>
          <w:tcPr>
            <w:tcW w:w="2847" w:type="dxa"/>
            <w:tcBorders>
              <w:top w:val="nil"/>
              <w:left w:val="nil"/>
              <w:bottom w:val="single" w:color="000000" w:sz="4" w:space="0"/>
              <w:right w:val="single" w:color="000000" w:sz="4" w:space="0"/>
            </w:tcBorders>
            <w:shd w:val="clear" w:color="auto" w:fill="FFFFFF"/>
            <w:noWrap w:val="0"/>
            <w:vAlign w:val="top"/>
          </w:tcPr>
          <w:p>
            <w:pPr>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trHeight w:val="1" w:hRule="atLeast"/>
          <w:jc w:val="center"/>
        </w:trPr>
        <w:tc>
          <w:tcPr>
            <w:tcW w:w="2199"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6.医院</w:t>
            </w:r>
          </w:p>
        </w:tc>
        <w:tc>
          <w:tcPr>
            <w:tcW w:w="1982" w:type="dxa"/>
            <w:vMerge w:val="restart"/>
            <w:tcBorders>
              <w:top w:val="nil"/>
              <w:left w:val="nil"/>
              <w:bottom w:val="single" w:color="000000" w:sz="4" w:space="0"/>
              <w:right w:val="single" w:color="000000" w:sz="4" w:space="0"/>
            </w:tcBorders>
            <w:shd w:val="clear" w:color="auto" w:fill="FFFFFF"/>
            <w:noWrap w:val="0"/>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消毒</w:t>
            </w:r>
          </w:p>
        </w:tc>
        <w:tc>
          <w:tcPr>
            <w:tcW w:w="1419" w:type="dxa"/>
            <w:tcBorders>
              <w:top w:val="nil"/>
              <w:left w:val="nil"/>
              <w:bottom w:val="single" w:color="000000" w:sz="4" w:space="0"/>
              <w:right w:val="single" w:color="000000" w:sz="4" w:space="0"/>
            </w:tcBorders>
            <w:shd w:val="clear" w:color="auto" w:fill="FFFFFF"/>
            <w:noWrap w:val="0"/>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0.14床</w:t>
            </w:r>
          </w:p>
        </w:tc>
        <w:tc>
          <w:tcPr>
            <w:tcW w:w="2847" w:type="dxa"/>
            <w:vMerge w:val="restart"/>
            <w:tcBorders>
              <w:top w:val="single" w:color="000000" w:sz="4" w:space="0"/>
              <w:left w:val="nil"/>
              <w:bottom w:val="single" w:color="000000" w:sz="4" w:space="0"/>
              <w:right w:val="single" w:color="000000" w:sz="4" w:space="0"/>
            </w:tcBorders>
            <w:shd w:val="clear" w:color="auto" w:fill="FFFFFF"/>
            <w:noWrap w:val="0"/>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医院病床数大于20张的按照本表计算污染当量。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trHeight w:val="1" w:hRule="atLeast"/>
          <w:jc w:val="center"/>
        </w:trPr>
        <w:tc>
          <w:tcPr>
            <w:tcW w:w="2199"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rPr>
                <w:rFonts w:hint="eastAsia" w:ascii="宋体"/>
                <w:sz w:val="24"/>
                <w:szCs w:val="24"/>
              </w:rPr>
            </w:pPr>
          </w:p>
        </w:tc>
        <w:tc>
          <w:tcPr>
            <w:tcW w:w="1982" w:type="dxa"/>
            <w:vMerge w:val="continue"/>
            <w:tcBorders>
              <w:top w:val="nil"/>
              <w:left w:val="nil"/>
              <w:bottom w:val="single" w:color="000000" w:sz="4" w:space="0"/>
              <w:right w:val="single" w:color="000000" w:sz="4" w:space="0"/>
            </w:tcBorders>
            <w:shd w:val="clear" w:color="auto" w:fill="FFFFFF"/>
            <w:noWrap w:val="0"/>
            <w:vAlign w:val="center"/>
          </w:tcPr>
          <w:p>
            <w:pPr>
              <w:rPr>
                <w:rFonts w:hint="eastAsia" w:ascii="宋体"/>
                <w:sz w:val="24"/>
                <w:szCs w:val="24"/>
              </w:rPr>
            </w:pPr>
          </w:p>
        </w:tc>
        <w:tc>
          <w:tcPr>
            <w:tcW w:w="1419" w:type="dxa"/>
            <w:tcBorders>
              <w:top w:val="nil"/>
              <w:left w:val="nil"/>
              <w:bottom w:val="single" w:color="000000" w:sz="4" w:space="0"/>
              <w:right w:val="single" w:color="000000" w:sz="4" w:space="0"/>
            </w:tcBorders>
            <w:shd w:val="clear" w:color="auto" w:fill="FFFFFF"/>
            <w:noWrap w:val="0"/>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default" w:ascii="??_GB2312" w:hAnsi="??_GB2312" w:eastAsia="??_GB2312" w:cs="??_GB2312"/>
                <w:sz w:val="24"/>
                <w:szCs w:val="24"/>
              </w:rPr>
              <w:t>2.8</w:t>
            </w:r>
            <w:r>
              <w:rPr>
                <w:rFonts w:hint="eastAsia" w:ascii="宋体" w:hAnsi="宋体" w:eastAsia="宋体" w:cs="宋体"/>
                <w:sz w:val="24"/>
                <w:szCs w:val="24"/>
              </w:rPr>
              <w:t>吨污水</w:t>
            </w:r>
          </w:p>
        </w:tc>
        <w:tc>
          <w:tcPr>
            <w:tcW w:w="2847" w:type="dxa"/>
            <w:vMerge w:val="continue"/>
            <w:tcBorders>
              <w:top w:val="single" w:color="000000" w:sz="4" w:space="0"/>
              <w:left w:val="nil"/>
              <w:bottom w:val="single" w:color="000000" w:sz="4" w:space="0"/>
              <w:right w:val="single" w:color="000000" w:sz="4" w:space="0"/>
            </w:tcBorders>
            <w:shd w:val="clear" w:color="auto" w:fill="FFFFFF"/>
            <w:noWrap w:val="0"/>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trHeight w:val="1" w:hRule="atLeast"/>
          <w:jc w:val="center"/>
        </w:trPr>
        <w:tc>
          <w:tcPr>
            <w:tcW w:w="2199"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rPr>
                <w:rFonts w:hint="eastAsia" w:ascii="宋体"/>
                <w:sz w:val="24"/>
                <w:szCs w:val="24"/>
              </w:rPr>
            </w:pPr>
          </w:p>
        </w:tc>
        <w:tc>
          <w:tcPr>
            <w:tcW w:w="1982" w:type="dxa"/>
            <w:vMerge w:val="restart"/>
            <w:tcBorders>
              <w:top w:val="nil"/>
              <w:left w:val="nil"/>
              <w:bottom w:val="single" w:color="000000" w:sz="4" w:space="0"/>
              <w:right w:val="single" w:color="000000" w:sz="4" w:space="0"/>
            </w:tcBorders>
            <w:shd w:val="clear" w:color="auto" w:fill="FFFFFF"/>
            <w:noWrap w:val="0"/>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宋体" w:hAnsi="宋体" w:eastAsia="宋体" w:cs="宋体"/>
                <w:sz w:val="24"/>
                <w:szCs w:val="24"/>
              </w:rPr>
              <w:t>不消毒</w:t>
            </w:r>
          </w:p>
        </w:tc>
        <w:tc>
          <w:tcPr>
            <w:tcW w:w="1419" w:type="dxa"/>
            <w:tcBorders>
              <w:top w:val="nil"/>
              <w:left w:val="nil"/>
              <w:bottom w:val="single" w:color="000000" w:sz="4" w:space="0"/>
              <w:right w:val="single" w:color="000000" w:sz="4" w:space="0"/>
            </w:tcBorders>
            <w:shd w:val="clear" w:color="auto" w:fill="FFFFFF"/>
            <w:noWrap w:val="0"/>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default" w:ascii="??_GB2312" w:hAnsi="??_GB2312" w:eastAsia="??_GB2312" w:cs="??_GB2312"/>
                <w:sz w:val="24"/>
                <w:szCs w:val="24"/>
              </w:rPr>
              <w:t>0.07</w:t>
            </w:r>
            <w:r>
              <w:rPr>
                <w:rFonts w:hint="eastAsia" w:ascii="宋体" w:hAnsi="宋体" w:eastAsia="宋体" w:cs="宋体"/>
                <w:sz w:val="24"/>
                <w:szCs w:val="24"/>
              </w:rPr>
              <w:t>床</w:t>
            </w:r>
          </w:p>
        </w:tc>
        <w:tc>
          <w:tcPr>
            <w:tcW w:w="2847" w:type="dxa"/>
            <w:vMerge w:val="continue"/>
            <w:tcBorders>
              <w:top w:val="single" w:color="000000" w:sz="4" w:space="0"/>
              <w:left w:val="nil"/>
              <w:bottom w:val="single" w:color="000000" w:sz="4" w:space="0"/>
              <w:right w:val="single" w:color="000000" w:sz="4" w:space="0"/>
            </w:tcBorders>
            <w:shd w:val="clear" w:color="auto" w:fill="FFFFFF"/>
            <w:noWrap w:val="0"/>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trHeight w:val="1" w:hRule="atLeast"/>
          <w:jc w:val="center"/>
        </w:trPr>
        <w:tc>
          <w:tcPr>
            <w:tcW w:w="2199"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rPr>
                <w:rFonts w:hint="eastAsia" w:ascii="宋体"/>
                <w:sz w:val="24"/>
                <w:szCs w:val="24"/>
              </w:rPr>
            </w:pPr>
          </w:p>
        </w:tc>
        <w:tc>
          <w:tcPr>
            <w:tcW w:w="1982" w:type="dxa"/>
            <w:vMerge w:val="continue"/>
            <w:tcBorders>
              <w:top w:val="nil"/>
              <w:left w:val="nil"/>
              <w:bottom w:val="single" w:color="000000" w:sz="4" w:space="0"/>
              <w:right w:val="single" w:color="000000" w:sz="4" w:space="0"/>
            </w:tcBorders>
            <w:shd w:val="clear" w:color="auto" w:fill="FFFFFF"/>
            <w:noWrap w:val="0"/>
            <w:vAlign w:val="center"/>
          </w:tcPr>
          <w:p>
            <w:pPr>
              <w:rPr>
                <w:rFonts w:hint="eastAsia" w:ascii="宋体"/>
                <w:sz w:val="24"/>
                <w:szCs w:val="24"/>
              </w:rPr>
            </w:pPr>
          </w:p>
        </w:tc>
        <w:tc>
          <w:tcPr>
            <w:tcW w:w="1419" w:type="dxa"/>
            <w:tcBorders>
              <w:top w:val="nil"/>
              <w:left w:val="nil"/>
              <w:bottom w:val="single" w:color="000000" w:sz="4" w:space="0"/>
              <w:right w:val="single" w:color="000000" w:sz="4" w:space="0"/>
            </w:tcBorders>
            <w:shd w:val="clear" w:color="auto" w:fill="FFFFFF"/>
            <w:noWrap w:val="0"/>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default" w:ascii="??_GB2312" w:hAnsi="??_GB2312" w:eastAsia="??_GB2312" w:cs="??_GB2312"/>
                <w:sz w:val="24"/>
                <w:szCs w:val="24"/>
              </w:rPr>
              <w:t>1.4</w:t>
            </w:r>
            <w:r>
              <w:rPr>
                <w:rFonts w:hint="eastAsia" w:ascii="宋体" w:hAnsi="宋体" w:eastAsia="宋体" w:cs="宋体"/>
                <w:sz w:val="24"/>
                <w:szCs w:val="24"/>
              </w:rPr>
              <w:t>吨污水</w:t>
            </w:r>
          </w:p>
        </w:tc>
        <w:tc>
          <w:tcPr>
            <w:tcW w:w="2847" w:type="dxa"/>
            <w:vMerge w:val="continue"/>
            <w:tcBorders>
              <w:top w:val="single" w:color="000000" w:sz="4" w:space="0"/>
              <w:left w:val="nil"/>
              <w:bottom w:val="single" w:color="000000" w:sz="4" w:space="0"/>
              <w:right w:val="single" w:color="000000" w:sz="4" w:space="0"/>
            </w:tcBorders>
            <w:shd w:val="clear" w:color="auto" w:fill="FFFFFF"/>
            <w:noWrap w:val="0"/>
            <w:vAlign w:val="top"/>
          </w:tcPr>
          <w:p>
            <w:pPr>
              <w:rPr>
                <w:rFonts w:hint="eastAsia" w:ascii="宋体"/>
                <w:sz w:val="24"/>
                <w:szCs w:val="24"/>
              </w:rPr>
            </w:pPr>
          </w:p>
        </w:tc>
      </w:tr>
    </w:tbl>
    <w:p>
      <w:r>
        <w:rPr>
          <w:rFonts w:hint="eastAsia"/>
          <w:lang w:val="en-US" w:eastAsia="zh-CN"/>
        </w:rPr>
        <w:t xml:space="preserve">    </w:t>
      </w:r>
    </w:p>
    <w:p>
      <w:pPr>
        <w:pStyle w:val="13"/>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pPr>
    </w:p>
    <w:p>
      <w:pPr>
        <w:pStyle w:val="13"/>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pPr>
    </w:p>
    <w:p>
      <w:pPr>
        <w:pStyle w:val="13"/>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pPr>
    </w:p>
    <w:p>
      <w:pPr>
        <w:pStyle w:val="13"/>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pPr>
    </w:p>
    <w:p>
      <w:pPr>
        <w:pStyle w:val="13"/>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pPr>
    </w:p>
    <w:p>
      <w:pPr>
        <w:pStyle w:val="13"/>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pPr>
    </w:p>
    <w:p>
      <w:pPr>
        <w:pStyle w:val="13"/>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pPr>
    </w:p>
    <w:p>
      <w:pPr>
        <w:pStyle w:val="13"/>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pStyle w:val="2"/>
        <w:spacing w:line="600" w:lineRule="exact"/>
        <w:rPr>
          <w:rFonts w:hint="default" w:ascii="方正小标宋_GBK" w:hAnsi="方正小标宋_GBK" w:eastAsia="方正小标宋_GBK" w:cs="Times New Roman"/>
        </w:rPr>
      </w:pPr>
    </w:p>
    <w:p>
      <w:pPr>
        <w:spacing w:line="600" w:lineRule="exact"/>
        <w:jc w:val="center"/>
        <w:rPr>
          <w:rFonts w:hint="eastAsia" w:ascii="方正小标宋_GBK" w:eastAsia="方正小标宋_GBK"/>
          <w:color w:val="auto"/>
          <w:sz w:val="36"/>
          <w:szCs w:val="36"/>
          <w:lang w:eastAsia="zh-CN"/>
        </w:rPr>
      </w:pPr>
      <w:r>
        <w:rPr>
          <w:rFonts w:hint="eastAsia" w:ascii="方正小标宋_GBK" w:eastAsia="方正小标宋_GBK"/>
          <w:color w:val="auto"/>
          <w:sz w:val="36"/>
          <w:szCs w:val="36"/>
        </w:rPr>
        <w:t>部分小型第三产业排污特征值系数</w:t>
      </w:r>
    </w:p>
    <w:p>
      <w:pPr>
        <w:spacing w:line="600" w:lineRule="exact"/>
        <w:jc w:val="center"/>
        <w:rPr>
          <w:rFonts w:hint="eastAsia" w:ascii="方正小标宋_GBK" w:eastAsia="方正小标宋_GBK"/>
          <w:sz w:val="36"/>
          <w:szCs w:val="36"/>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459"/>
        <w:gridCol w:w="1428"/>
        <w:gridCol w:w="1427"/>
        <w:gridCol w:w="1000"/>
        <w:gridCol w:w="2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9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行业类型</w:t>
            </w:r>
          </w:p>
        </w:tc>
        <w:tc>
          <w:tcPr>
            <w:tcW w:w="28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color w:val="000000"/>
                <w:kern w:val="0"/>
                <w:sz w:val="24"/>
                <w:szCs w:val="24"/>
              </w:rPr>
              <w:t>特征指标（单位）</w:t>
            </w:r>
          </w:p>
        </w:tc>
        <w:tc>
          <w:tcPr>
            <w:tcW w:w="342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排污特征值系数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9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餐饮业</w:t>
            </w:r>
          </w:p>
        </w:tc>
        <w:tc>
          <w:tcPr>
            <w:tcW w:w="14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营业面积</w:t>
            </w:r>
          </w:p>
          <w:p>
            <w:pPr>
              <w:spacing w:line="360" w:lineRule="exact"/>
              <w:jc w:val="center"/>
              <w:rPr>
                <w:rFonts w:ascii="Times New Roman" w:hAnsi="Times New Roman" w:eastAsia="仿宋"/>
                <w:sz w:val="24"/>
                <w:szCs w:val="24"/>
              </w:rPr>
            </w:pPr>
            <w:r>
              <w:rPr>
                <w:rFonts w:ascii="Times New Roman" w:hAnsi="Times New Roman" w:eastAsia="仿宋"/>
                <w:sz w:val="24"/>
                <w:szCs w:val="24"/>
              </w:rPr>
              <w:t>（平方米）</w:t>
            </w:r>
          </w:p>
        </w:tc>
        <w:tc>
          <w:tcPr>
            <w:tcW w:w="142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color w:val="000000"/>
                <w:sz w:val="24"/>
                <w:szCs w:val="24"/>
              </w:rPr>
            </w:pPr>
            <w:r>
              <w:rPr>
                <w:rFonts w:ascii="Times New Roman" w:hAnsi="Times New Roman" w:eastAsia="仿宋"/>
                <w:color w:val="000000"/>
                <w:sz w:val="24"/>
                <w:szCs w:val="24"/>
              </w:rPr>
              <w:t>100以下</w:t>
            </w:r>
          </w:p>
          <w:p>
            <w:pPr>
              <w:spacing w:line="360" w:lineRule="exact"/>
              <w:jc w:val="center"/>
              <w:rPr>
                <w:rFonts w:ascii="Times New Roman" w:hAnsi="Times New Roman" w:eastAsia="仿宋"/>
                <w:color w:val="000000"/>
                <w:sz w:val="24"/>
                <w:szCs w:val="24"/>
              </w:rPr>
            </w:pPr>
            <w:r>
              <w:rPr>
                <w:rFonts w:ascii="Times New Roman" w:hAnsi="Times New Roman" w:eastAsia="仿宋"/>
                <w:color w:val="000000"/>
                <w:sz w:val="24"/>
                <w:szCs w:val="24"/>
              </w:rPr>
              <w:t>（含100）</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污水</w:t>
            </w:r>
          </w:p>
        </w:tc>
        <w:tc>
          <w:tcPr>
            <w:tcW w:w="24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70/月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9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eastAsia="仿宋"/>
                <w:sz w:val="24"/>
                <w:szCs w:val="24"/>
              </w:rPr>
            </w:pPr>
          </w:p>
        </w:tc>
        <w:tc>
          <w:tcPr>
            <w:tcW w:w="14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eastAsia="仿宋"/>
                <w:sz w:val="24"/>
                <w:szCs w:val="24"/>
              </w:rPr>
            </w:pPr>
          </w:p>
        </w:tc>
        <w:tc>
          <w:tcPr>
            <w:tcW w:w="14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eastAsia="仿宋"/>
                <w:color w:val="000000"/>
                <w:sz w:val="24"/>
                <w:szCs w:val="24"/>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废气</w:t>
            </w:r>
          </w:p>
        </w:tc>
        <w:tc>
          <w:tcPr>
            <w:tcW w:w="24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33/月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9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eastAsia="仿宋"/>
                <w:sz w:val="24"/>
                <w:szCs w:val="24"/>
              </w:rPr>
            </w:pPr>
          </w:p>
        </w:tc>
        <w:tc>
          <w:tcPr>
            <w:tcW w:w="14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eastAsia="仿宋"/>
                <w:sz w:val="24"/>
                <w:szCs w:val="24"/>
              </w:rPr>
            </w:pPr>
          </w:p>
        </w:tc>
        <w:tc>
          <w:tcPr>
            <w:tcW w:w="142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color w:val="000000"/>
                <w:sz w:val="24"/>
                <w:szCs w:val="24"/>
              </w:rPr>
            </w:pPr>
            <w:r>
              <w:rPr>
                <w:rFonts w:ascii="Times New Roman" w:hAnsi="Times New Roman" w:eastAsia="仿宋"/>
                <w:color w:val="000000"/>
                <w:sz w:val="24"/>
                <w:szCs w:val="24"/>
              </w:rPr>
              <w:t>100-300</w:t>
            </w:r>
          </w:p>
          <w:p>
            <w:pPr>
              <w:spacing w:line="360" w:lineRule="exact"/>
              <w:jc w:val="center"/>
              <w:rPr>
                <w:rFonts w:ascii="Times New Roman" w:hAnsi="Times New Roman" w:eastAsia="仿宋"/>
                <w:color w:val="000000"/>
                <w:sz w:val="24"/>
                <w:szCs w:val="24"/>
              </w:rPr>
            </w:pPr>
            <w:r>
              <w:rPr>
                <w:rFonts w:ascii="Times New Roman" w:hAnsi="Times New Roman" w:eastAsia="仿宋"/>
                <w:color w:val="000000"/>
                <w:sz w:val="24"/>
                <w:szCs w:val="24"/>
              </w:rPr>
              <w:t>（含300）</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污水</w:t>
            </w:r>
          </w:p>
        </w:tc>
        <w:tc>
          <w:tcPr>
            <w:tcW w:w="24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150/月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9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eastAsia="仿宋"/>
                <w:sz w:val="24"/>
                <w:szCs w:val="24"/>
              </w:rPr>
            </w:pPr>
          </w:p>
        </w:tc>
        <w:tc>
          <w:tcPr>
            <w:tcW w:w="14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eastAsia="仿宋"/>
                <w:sz w:val="24"/>
                <w:szCs w:val="24"/>
              </w:rPr>
            </w:pPr>
          </w:p>
        </w:tc>
        <w:tc>
          <w:tcPr>
            <w:tcW w:w="14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eastAsia="仿宋"/>
                <w:color w:val="000000"/>
                <w:sz w:val="24"/>
                <w:szCs w:val="24"/>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废气</w:t>
            </w:r>
          </w:p>
        </w:tc>
        <w:tc>
          <w:tcPr>
            <w:tcW w:w="24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66/月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9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eastAsia="仿宋"/>
                <w:sz w:val="24"/>
                <w:szCs w:val="24"/>
              </w:rPr>
            </w:pPr>
          </w:p>
        </w:tc>
        <w:tc>
          <w:tcPr>
            <w:tcW w:w="14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eastAsia="仿宋"/>
                <w:sz w:val="24"/>
                <w:szCs w:val="24"/>
              </w:rPr>
            </w:pPr>
          </w:p>
        </w:tc>
        <w:tc>
          <w:tcPr>
            <w:tcW w:w="142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color w:val="000000"/>
                <w:sz w:val="24"/>
                <w:szCs w:val="24"/>
              </w:rPr>
            </w:pPr>
            <w:r>
              <w:rPr>
                <w:rFonts w:ascii="Times New Roman" w:hAnsi="Times New Roman" w:eastAsia="仿宋"/>
                <w:color w:val="000000"/>
                <w:sz w:val="24"/>
                <w:szCs w:val="24"/>
              </w:rPr>
              <w:t>300-500</w:t>
            </w:r>
          </w:p>
          <w:p>
            <w:pPr>
              <w:spacing w:line="360" w:lineRule="exact"/>
              <w:jc w:val="center"/>
              <w:rPr>
                <w:rFonts w:ascii="Times New Roman" w:hAnsi="Times New Roman" w:eastAsia="仿宋"/>
                <w:color w:val="000000"/>
                <w:sz w:val="24"/>
                <w:szCs w:val="24"/>
              </w:rPr>
            </w:pPr>
            <w:r>
              <w:rPr>
                <w:rFonts w:ascii="Times New Roman" w:hAnsi="Times New Roman" w:eastAsia="仿宋"/>
                <w:color w:val="000000"/>
                <w:sz w:val="24"/>
                <w:szCs w:val="24"/>
              </w:rPr>
              <w:t>（含500）</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污水</w:t>
            </w:r>
          </w:p>
        </w:tc>
        <w:tc>
          <w:tcPr>
            <w:tcW w:w="24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430/月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9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eastAsia="仿宋"/>
                <w:sz w:val="24"/>
                <w:szCs w:val="24"/>
              </w:rPr>
            </w:pPr>
          </w:p>
        </w:tc>
        <w:tc>
          <w:tcPr>
            <w:tcW w:w="14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eastAsia="仿宋"/>
                <w:sz w:val="24"/>
                <w:szCs w:val="24"/>
              </w:rPr>
            </w:pPr>
          </w:p>
        </w:tc>
        <w:tc>
          <w:tcPr>
            <w:tcW w:w="14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eastAsia="仿宋"/>
                <w:color w:val="000000"/>
                <w:sz w:val="24"/>
                <w:szCs w:val="24"/>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废气</w:t>
            </w:r>
          </w:p>
        </w:tc>
        <w:tc>
          <w:tcPr>
            <w:tcW w:w="24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100/月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9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eastAsia="仿宋"/>
                <w:sz w:val="24"/>
                <w:szCs w:val="24"/>
              </w:rPr>
            </w:pPr>
          </w:p>
        </w:tc>
        <w:tc>
          <w:tcPr>
            <w:tcW w:w="14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eastAsia="仿宋"/>
                <w:sz w:val="24"/>
                <w:szCs w:val="24"/>
              </w:rPr>
            </w:pPr>
          </w:p>
        </w:tc>
        <w:tc>
          <w:tcPr>
            <w:tcW w:w="142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color w:val="000000"/>
                <w:sz w:val="24"/>
                <w:szCs w:val="24"/>
              </w:rPr>
            </w:pPr>
            <w:r>
              <w:rPr>
                <w:rFonts w:ascii="Times New Roman" w:hAnsi="Times New Roman" w:eastAsia="仿宋"/>
                <w:color w:val="000000"/>
                <w:sz w:val="24"/>
                <w:szCs w:val="24"/>
              </w:rPr>
              <w:t>500-1500</w:t>
            </w:r>
          </w:p>
          <w:p>
            <w:pPr>
              <w:spacing w:line="360" w:lineRule="exact"/>
              <w:jc w:val="center"/>
              <w:rPr>
                <w:rFonts w:ascii="Times New Roman" w:hAnsi="Times New Roman" w:eastAsia="仿宋"/>
                <w:color w:val="000000"/>
                <w:sz w:val="24"/>
                <w:szCs w:val="24"/>
              </w:rPr>
            </w:pPr>
            <w:r>
              <w:rPr>
                <w:rFonts w:ascii="Times New Roman" w:hAnsi="Times New Roman" w:eastAsia="仿宋"/>
                <w:color w:val="000000"/>
                <w:sz w:val="24"/>
                <w:szCs w:val="24"/>
              </w:rPr>
              <w:t>（含1500）</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污水</w:t>
            </w:r>
          </w:p>
        </w:tc>
        <w:tc>
          <w:tcPr>
            <w:tcW w:w="24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720/月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9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eastAsia="仿宋"/>
                <w:sz w:val="24"/>
                <w:szCs w:val="24"/>
              </w:rPr>
            </w:pPr>
          </w:p>
        </w:tc>
        <w:tc>
          <w:tcPr>
            <w:tcW w:w="14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eastAsia="仿宋"/>
                <w:sz w:val="24"/>
                <w:szCs w:val="24"/>
              </w:rPr>
            </w:pPr>
          </w:p>
        </w:tc>
        <w:tc>
          <w:tcPr>
            <w:tcW w:w="14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eastAsia="仿宋"/>
                <w:color w:val="000000"/>
                <w:sz w:val="24"/>
                <w:szCs w:val="24"/>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废气</w:t>
            </w:r>
          </w:p>
        </w:tc>
        <w:tc>
          <w:tcPr>
            <w:tcW w:w="24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250/月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9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住宿业</w:t>
            </w:r>
          </w:p>
        </w:tc>
        <w:tc>
          <w:tcPr>
            <w:tcW w:w="28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床位（床）</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污水</w:t>
            </w:r>
          </w:p>
        </w:tc>
        <w:tc>
          <w:tcPr>
            <w:tcW w:w="24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3/月·床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9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洗染服务业（衣物类）</w:t>
            </w:r>
          </w:p>
        </w:tc>
        <w:tc>
          <w:tcPr>
            <w:tcW w:w="28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干洗机（台）</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污水</w:t>
            </w:r>
          </w:p>
        </w:tc>
        <w:tc>
          <w:tcPr>
            <w:tcW w:w="24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65/月·台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9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eastAsia="仿宋"/>
                <w:sz w:val="24"/>
                <w:szCs w:val="24"/>
              </w:rPr>
            </w:pPr>
          </w:p>
        </w:tc>
        <w:tc>
          <w:tcPr>
            <w:tcW w:w="28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水洗机（台）</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污水</w:t>
            </w:r>
          </w:p>
        </w:tc>
        <w:tc>
          <w:tcPr>
            <w:tcW w:w="24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37/月·台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9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美容美发保健业</w:t>
            </w:r>
          </w:p>
        </w:tc>
        <w:tc>
          <w:tcPr>
            <w:tcW w:w="28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床位（张）</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污水</w:t>
            </w:r>
          </w:p>
        </w:tc>
        <w:tc>
          <w:tcPr>
            <w:tcW w:w="24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22/月·张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9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eastAsia="仿宋"/>
                <w:sz w:val="24"/>
                <w:szCs w:val="24"/>
              </w:rPr>
            </w:pPr>
          </w:p>
        </w:tc>
        <w:tc>
          <w:tcPr>
            <w:tcW w:w="28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座位（个）</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污水</w:t>
            </w:r>
          </w:p>
        </w:tc>
        <w:tc>
          <w:tcPr>
            <w:tcW w:w="24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6/月·个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9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洗浴业（洗脚、洗澡）</w:t>
            </w:r>
          </w:p>
        </w:tc>
        <w:tc>
          <w:tcPr>
            <w:tcW w:w="28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床位（张）</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污水</w:t>
            </w:r>
          </w:p>
        </w:tc>
        <w:tc>
          <w:tcPr>
            <w:tcW w:w="24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15/月·张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9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eastAsia="仿宋"/>
                <w:sz w:val="24"/>
                <w:szCs w:val="24"/>
              </w:rPr>
            </w:pPr>
          </w:p>
        </w:tc>
        <w:tc>
          <w:tcPr>
            <w:tcW w:w="28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座位（个）</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污水</w:t>
            </w:r>
          </w:p>
        </w:tc>
        <w:tc>
          <w:tcPr>
            <w:tcW w:w="24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20/月·个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9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eastAsia="仿宋"/>
                <w:sz w:val="24"/>
                <w:szCs w:val="24"/>
              </w:rPr>
            </w:pPr>
          </w:p>
        </w:tc>
        <w:tc>
          <w:tcPr>
            <w:tcW w:w="28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衣柜（个）</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污水</w:t>
            </w:r>
          </w:p>
        </w:tc>
        <w:tc>
          <w:tcPr>
            <w:tcW w:w="24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4/月·个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9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汽车、摩托车</w:t>
            </w:r>
          </w:p>
          <w:p>
            <w:pPr>
              <w:spacing w:line="360" w:lineRule="exact"/>
              <w:jc w:val="center"/>
              <w:rPr>
                <w:rFonts w:ascii="Times New Roman" w:hAnsi="Times New Roman" w:eastAsia="仿宋"/>
                <w:color w:val="FF0000"/>
                <w:sz w:val="24"/>
                <w:szCs w:val="24"/>
              </w:rPr>
            </w:pPr>
            <w:r>
              <w:rPr>
                <w:rFonts w:ascii="Times New Roman" w:hAnsi="Times New Roman" w:eastAsia="仿宋"/>
                <w:sz w:val="24"/>
                <w:szCs w:val="24"/>
              </w:rPr>
              <w:t>维修与保养业</w:t>
            </w:r>
          </w:p>
        </w:tc>
        <w:tc>
          <w:tcPr>
            <w:tcW w:w="28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提升机（台）</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污水</w:t>
            </w:r>
          </w:p>
        </w:tc>
        <w:tc>
          <w:tcPr>
            <w:tcW w:w="24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85/月·台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9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eastAsia="仿宋"/>
                <w:color w:val="FF0000"/>
                <w:sz w:val="24"/>
                <w:szCs w:val="24"/>
              </w:rPr>
            </w:pPr>
          </w:p>
        </w:tc>
        <w:tc>
          <w:tcPr>
            <w:tcW w:w="28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地沟（条）</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污水</w:t>
            </w:r>
          </w:p>
        </w:tc>
        <w:tc>
          <w:tcPr>
            <w:tcW w:w="24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43/月·条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9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eastAsia="仿宋"/>
                <w:color w:val="FF0000"/>
                <w:sz w:val="24"/>
                <w:szCs w:val="24"/>
              </w:rPr>
            </w:pPr>
          </w:p>
        </w:tc>
        <w:tc>
          <w:tcPr>
            <w:tcW w:w="28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水枪（支）</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污水</w:t>
            </w:r>
          </w:p>
        </w:tc>
        <w:tc>
          <w:tcPr>
            <w:tcW w:w="24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36/月·支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9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摄影扩印服务业</w:t>
            </w:r>
          </w:p>
        </w:tc>
        <w:tc>
          <w:tcPr>
            <w:tcW w:w="28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彩扩机（台）</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污水</w:t>
            </w:r>
          </w:p>
        </w:tc>
        <w:tc>
          <w:tcPr>
            <w:tcW w:w="24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70/月·台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9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独立燃烧锅炉</w:t>
            </w:r>
          </w:p>
        </w:tc>
        <w:tc>
          <w:tcPr>
            <w:tcW w:w="28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锅炉（蒸吨）</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废气</w:t>
            </w:r>
          </w:p>
        </w:tc>
        <w:tc>
          <w:tcPr>
            <w:tcW w:w="24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
                <w:sz w:val="24"/>
                <w:szCs w:val="24"/>
              </w:rPr>
            </w:pPr>
            <w:r>
              <w:rPr>
                <w:rFonts w:ascii="Times New Roman" w:hAnsi="Times New Roman" w:eastAsia="仿宋"/>
                <w:sz w:val="24"/>
                <w:szCs w:val="24"/>
              </w:rPr>
              <w:t>166/月（≤2蒸吨）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 w:val="24"/>
                <w:szCs w:val="24"/>
              </w:rPr>
            </w:pPr>
            <w:r>
              <w:rPr>
                <w:rFonts w:ascii="仿宋" w:hAnsi="仿宋" w:eastAsia="仿宋"/>
                <w:sz w:val="24"/>
                <w:szCs w:val="24"/>
              </w:rPr>
              <w:t>备</w:t>
            </w:r>
          </w:p>
          <w:p>
            <w:pPr>
              <w:spacing w:line="360" w:lineRule="exact"/>
              <w:jc w:val="center"/>
              <w:rPr>
                <w:rFonts w:ascii="仿宋" w:hAnsi="仿宋" w:eastAsia="仿宋"/>
                <w:sz w:val="24"/>
                <w:szCs w:val="24"/>
              </w:rPr>
            </w:pPr>
            <w:r>
              <w:rPr>
                <w:rFonts w:ascii="仿宋" w:hAnsi="仿宋" w:eastAsia="仿宋"/>
                <w:sz w:val="24"/>
                <w:szCs w:val="24"/>
              </w:rPr>
              <w:t>注</w:t>
            </w:r>
          </w:p>
        </w:tc>
        <w:tc>
          <w:tcPr>
            <w:tcW w:w="7740"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Times New Roman" w:hAnsi="Times New Roman" w:eastAsia="仿宋"/>
                <w:sz w:val="24"/>
                <w:szCs w:val="24"/>
              </w:rPr>
            </w:pPr>
            <w:r>
              <w:rPr>
                <w:rFonts w:ascii="Times New Roman" w:hAnsi="Times New Roman" w:eastAsia="仿宋"/>
                <w:sz w:val="24"/>
                <w:szCs w:val="24"/>
              </w:rPr>
              <w:t>1.在餐饮行业中，废气排污特征值系数针对燃煤燃烧废气，不含油烟类污染物和使用独立燃烧锅炉产生的废气。</w:t>
            </w:r>
          </w:p>
          <w:p>
            <w:pPr>
              <w:spacing w:line="360" w:lineRule="exact"/>
              <w:rPr>
                <w:rFonts w:eastAsia="仿宋"/>
                <w:sz w:val="24"/>
                <w:szCs w:val="24"/>
              </w:rPr>
            </w:pPr>
            <w:r>
              <w:rPr>
                <w:rFonts w:ascii="Times New Roman" w:hAnsi="Times New Roman" w:eastAsia="仿宋"/>
                <w:sz w:val="24"/>
                <w:szCs w:val="24"/>
              </w:rPr>
              <w:t>2.餐饮业的营业面积可参照《消防意见审核书》的面积计算。</w:t>
            </w:r>
          </w:p>
        </w:tc>
      </w:tr>
    </w:tbl>
    <w:p/>
    <w:p>
      <w:pPr>
        <w:pStyle w:val="13"/>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pPr>
      <w:r>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t>附件3</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right="0"/>
        <w:jc w:val="center"/>
        <w:textAlignment w:val="auto"/>
        <w:rPr>
          <w:rStyle w:val="11"/>
          <w:rFonts w:hint="default" w:ascii="Times New Roman" w:hAnsi="Times New Roman" w:eastAsia="黑体" w:cs="Times New Roman"/>
          <w:b w:val="0"/>
          <w:bCs/>
          <w:i w:val="0"/>
          <w:iCs w:val="0"/>
          <w:caps w:val="0"/>
          <w:color w:val="auto"/>
          <w:spacing w:val="0"/>
          <w:sz w:val="32"/>
          <w:szCs w:val="32"/>
          <w:highlight w:val="none"/>
          <w:shd w:val="clear" w:color="auto" w:fill="FFFFFF"/>
        </w:rPr>
      </w:pPr>
      <w:r>
        <w:rPr>
          <w:rStyle w:val="11"/>
          <w:rFonts w:hint="default" w:ascii="Times New Roman" w:hAnsi="Times New Roman" w:eastAsia="黑体" w:cs="Times New Roman"/>
          <w:b w:val="0"/>
          <w:bCs/>
          <w:i w:val="0"/>
          <w:iCs w:val="0"/>
          <w:caps w:val="0"/>
          <w:color w:val="auto"/>
          <w:spacing w:val="0"/>
          <w:sz w:val="32"/>
          <w:szCs w:val="32"/>
          <w:highlight w:val="none"/>
          <w:shd w:val="clear" w:color="auto" w:fill="FFFFFF"/>
        </w:rPr>
        <w:t>施工扬尘产生、削减系数表</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59"/>
        <w:gridCol w:w="1585"/>
        <w:gridCol w:w="2615"/>
        <w:gridCol w:w="1501"/>
        <w:gridCol w:w="1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044" w:type="dxa"/>
            <w:gridSpan w:val="2"/>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工地类型</w:t>
            </w:r>
          </w:p>
        </w:tc>
        <w:tc>
          <w:tcPr>
            <w:tcW w:w="5462" w:type="dxa"/>
            <w:gridSpan w:val="3"/>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扬尘产生量系数（千克/平方米·月）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044" w:type="dxa"/>
            <w:gridSpan w:val="2"/>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建筑施工</w:t>
            </w:r>
          </w:p>
        </w:tc>
        <w:tc>
          <w:tcPr>
            <w:tcW w:w="5462" w:type="dxa"/>
            <w:gridSpan w:val="3"/>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044" w:type="dxa"/>
            <w:gridSpan w:val="2"/>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市政（拆迁）施工</w:t>
            </w:r>
          </w:p>
        </w:tc>
        <w:tc>
          <w:tcPr>
            <w:tcW w:w="5462" w:type="dxa"/>
            <w:gridSpan w:val="3"/>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59" w:type="dxa"/>
            <w:vMerge w:val="restart"/>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工地类型</w:t>
            </w:r>
          </w:p>
        </w:tc>
        <w:tc>
          <w:tcPr>
            <w:tcW w:w="1585" w:type="dxa"/>
            <w:vMerge w:val="restart"/>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扬尘类型</w:t>
            </w:r>
          </w:p>
        </w:tc>
        <w:tc>
          <w:tcPr>
            <w:tcW w:w="2615" w:type="dxa"/>
            <w:vMerge w:val="restart"/>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扬尘污染控制措施</w:t>
            </w:r>
          </w:p>
        </w:tc>
        <w:tc>
          <w:tcPr>
            <w:tcW w:w="2847" w:type="dxa"/>
            <w:gridSpan w:val="2"/>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扬尘排放量削减系数</w:t>
            </w:r>
            <w:r>
              <w:rPr>
                <w:rFonts w:hint="default" w:ascii="Times New Roman" w:hAnsi="Times New Roman" w:eastAsia="微软雅黑" w:cs="Times New Roman"/>
                <w:color w:val="auto"/>
              </w:rPr>
              <w:br w:type="textWrapping"/>
            </w:r>
            <w:r>
              <w:rPr>
                <w:rFonts w:hint="default" w:ascii="Times New Roman" w:hAnsi="Times New Roman" w:eastAsia="微软雅黑" w:cs="Times New Roman"/>
                <w:color w:val="auto"/>
              </w:rPr>
              <w:t>（千克/平方米·月）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59" w:type="dxa"/>
            <w:vMerge w:val="continue"/>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widowControl/>
              <w:spacing w:line="400" w:lineRule="exact"/>
              <w:jc w:val="center"/>
              <w:rPr>
                <w:rFonts w:hint="default" w:ascii="Times New Roman" w:hAnsi="Times New Roman" w:cs="Times New Roman"/>
                <w:color w:val="auto"/>
                <w:sz w:val="24"/>
                <w:szCs w:val="24"/>
              </w:rPr>
            </w:pPr>
          </w:p>
        </w:tc>
        <w:tc>
          <w:tcPr>
            <w:tcW w:w="1585" w:type="dxa"/>
            <w:vMerge w:val="continue"/>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widowControl/>
              <w:spacing w:line="400" w:lineRule="exact"/>
              <w:jc w:val="center"/>
              <w:rPr>
                <w:rFonts w:hint="default" w:ascii="Times New Roman" w:hAnsi="Times New Roman" w:cs="Times New Roman"/>
                <w:color w:val="auto"/>
                <w:sz w:val="24"/>
                <w:szCs w:val="24"/>
              </w:rPr>
            </w:pPr>
          </w:p>
        </w:tc>
        <w:tc>
          <w:tcPr>
            <w:tcW w:w="2615" w:type="dxa"/>
            <w:vMerge w:val="continue"/>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widowControl/>
              <w:spacing w:line="400" w:lineRule="exact"/>
              <w:jc w:val="center"/>
              <w:rPr>
                <w:rFonts w:hint="default" w:ascii="Times New Roman" w:hAnsi="Times New Roman" w:cs="Times New Roman"/>
                <w:color w:val="auto"/>
                <w:sz w:val="24"/>
                <w:szCs w:val="24"/>
              </w:rPr>
            </w:pPr>
          </w:p>
        </w:tc>
        <w:tc>
          <w:tcPr>
            <w:tcW w:w="2847" w:type="dxa"/>
            <w:gridSpan w:val="2"/>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措施达标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jc w:val="center"/>
        </w:trPr>
        <w:tc>
          <w:tcPr>
            <w:tcW w:w="1459" w:type="dxa"/>
            <w:vMerge w:val="continue"/>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widowControl/>
              <w:spacing w:line="400" w:lineRule="exact"/>
              <w:jc w:val="center"/>
              <w:rPr>
                <w:rFonts w:hint="default" w:ascii="Times New Roman" w:hAnsi="Times New Roman" w:cs="Times New Roman"/>
                <w:color w:val="auto"/>
                <w:sz w:val="24"/>
                <w:szCs w:val="24"/>
              </w:rPr>
            </w:pPr>
          </w:p>
        </w:tc>
        <w:tc>
          <w:tcPr>
            <w:tcW w:w="1585" w:type="dxa"/>
            <w:vMerge w:val="continue"/>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widowControl/>
              <w:spacing w:line="400" w:lineRule="exact"/>
              <w:jc w:val="center"/>
              <w:rPr>
                <w:rFonts w:hint="default" w:ascii="Times New Roman" w:hAnsi="Times New Roman" w:cs="Times New Roman"/>
                <w:color w:val="auto"/>
                <w:sz w:val="24"/>
                <w:szCs w:val="24"/>
              </w:rPr>
            </w:pPr>
          </w:p>
        </w:tc>
        <w:tc>
          <w:tcPr>
            <w:tcW w:w="2615" w:type="dxa"/>
            <w:vMerge w:val="continue"/>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widowControl/>
              <w:spacing w:line="400" w:lineRule="exact"/>
              <w:jc w:val="center"/>
              <w:rPr>
                <w:rFonts w:hint="default" w:ascii="Times New Roman" w:hAnsi="Times New Roman" w:cs="Times New Roman"/>
                <w:color w:val="auto"/>
                <w:sz w:val="24"/>
                <w:szCs w:val="24"/>
              </w:rPr>
            </w:pPr>
          </w:p>
        </w:tc>
        <w:tc>
          <w:tcPr>
            <w:tcW w:w="1501"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是</w:t>
            </w:r>
          </w:p>
        </w:tc>
        <w:tc>
          <w:tcPr>
            <w:tcW w:w="1346"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59" w:type="dxa"/>
            <w:vMerge w:val="restart"/>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建筑工地</w:t>
            </w:r>
          </w:p>
        </w:tc>
        <w:tc>
          <w:tcPr>
            <w:tcW w:w="1585" w:type="dxa"/>
            <w:vMerge w:val="restart"/>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一次扬尘</w:t>
            </w:r>
          </w:p>
        </w:tc>
        <w:tc>
          <w:tcPr>
            <w:tcW w:w="2615"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道路硬化措施</w:t>
            </w:r>
          </w:p>
        </w:tc>
        <w:tc>
          <w:tcPr>
            <w:tcW w:w="1501"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0.071</w:t>
            </w:r>
          </w:p>
        </w:tc>
        <w:tc>
          <w:tcPr>
            <w:tcW w:w="1346"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59" w:type="dxa"/>
            <w:vMerge w:val="continue"/>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widowControl/>
              <w:spacing w:line="400" w:lineRule="exact"/>
              <w:jc w:val="center"/>
              <w:rPr>
                <w:rFonts w:hint="default" w:ascii="Times New Roman" w:hAnsi="Times New Roman" w:cs="Times New Roman"/>
                <w:color w:val="auto"/>
                <w:sz w:val="24"/>
                <w:szCs w:val="24"/>
              </w:rPr>
            </w:pPr>
          </w:p>
        </w:tc>
        <w:tc>
          <w:tcPr>
            <w:tcW w:w="1585" w:type="dxa"/>
            <w:vMerge w:val="continue"/>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widowControl/>
              <w:spacing w:line="400" w:lineRule="exact"/>
              <w:jc w:val="center"/>
              <w:rPr>
                <w:rFonts w:hint="default" w:ascii="Times New Roman" w:hAnsi="Times New Roman" w:cs="Times New Roman"/>
                <w:color w:val="auto"/>
                <w:sz w:val="24"/>
                <w:szCs w:val="24"/>
              </w:rPr>
            </w:pPr>
          </w:p>
        </w:tc>
        <w:tc>
          <w:tcPr>
            <w:tcW w:w="2615"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边界围挡</w:t>
            </w:r>
          </w:p>
        </w:tc>
        <w:tc>
          <w:tcPr>
            <w:tcW w:w="1501"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0.047</w:t>
            </w:r>
          </w:p>
        </w:tc>
        <w:tc>
          <w:tcPr>
            <w:tcW w:w="1346"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59" w:type="dxa"/>
            <w:vMerge w:val="continue"/>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widowControl/>
              <w:spacing w:line="400" w:lineRule="exact"/>
              <w:jc w:val="center"/>
              <w:rPr>
                <w:rFonts w:hint="default" w:ascii="Times New Roman" w:hAnsi="Times New Roman" w:cs="Times New Roman"/>
                <w:color w:val="auto"/>
                <w:sz w:val="24"/>
                <w:szCs w:val="24"/>
              </w:rPr>
            </w:pPr>
          </w:p>
        </w:tc>
        <w:tc>
          <w:tcPr>
            <w:tcW w:w="1585" w:type="dxa"/>
            <w:vMerge w:val="continue"/>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widowControl/>
              <w:spacing w:line="400" w:lineRule="exact"/>
              <w:jc w:val="center"/>
              <w:rPr>
                <w:rFonts w:hint="default" w:ascii="Times New Roman" w:hAnsi="Times New Roman" w:cs="Times New Roman"/>
                <w:color w:val="auto"/>
                <w:sz w:val="24"/>
                <w:szCs w:val="24"/>
              </w:rPr>
            </w:pPr>
          </w:p>
        </w:tc>
        <w:tc>
          <w:tcPr>
            <w:tcW w:w="2615"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裸露地面覆盖</w:t>
            </w:r>
          </w:p>
        </w:tc>
        <w:tc>
          <w:tcPr>
            <w:tcW w:w="1501"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0.047</w:t>
            </w:r>
          </w:p>
        </w:tc>
        <w:tc>
          <w:tcPr>
            <w:tcW w:w="1346"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59" w:type="dxa"/>
            <w:vMerge w:val="continue"/>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widowControl/>
              <w:spacing w:line="400" w:lineRule="exact"/>
              <w:jc w:val="center"/>
              <w:rPr>
                <w:rFonts w:hint="default" w:ascii="Times New Roman" w:hAnsi="Times New Roman" w:cs="Times New Roman"/>
                <w:color w:val="auto"/>
                <w:sz w:val="24"/>
                <w:szCs w:val="24"/>
              </w:rPr>
            </w:pPr>
          </w:p>
        </w:tc>
        <w:tc>
          <w:tcPr>
            <w:tcW w:w="1585" w:type="dxa"/>
            <w:vMerge w:val="continue"/>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widowControl/>
              <w:spacing w:line="400" w:lineRule="exact"/>
              <w:jc w:val="center"/>
              <w:rPr>
                <w:rFonts w:hint="default" w:ascii="Times New Roman" w:hAnsi="Times New Roman" w:cs="Times New Roman"/>
                <w:color w:val="auto"/>
                <w:sz w:val="24"/>
                <w:szCs w:val="24"/>
              </w:rPr>
            </w:pPr>
          </w:p>
        </w:tc>
        <w:tc>
          <w:tcPr>
            <w:tcW w:w="2615"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易扬尘物料覆盖</w:t>
            </w:r>
          </w:p>
        </w:tc>
        <w:tc>
          <w:tcPr>
            <w:tcW w:w="1501"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0.025</w:t>
            </w:r>
          </w:p>
        </w:tc>
        <w:tc>
          <w:tcPr>
            <w:tcW w:w="1346"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59" w:type="dxa"/>
            <w:vMerge w:val="continue"/>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widowControl/>
              <w:spacing w:line="400" w:lineRule="exact"/>
              <w:jc w:val="center"/>
              <w:rPr>
                <w:rFonts w:hint="default" w:ascii="Times New Roman" w:hAnsi="Times New Roman" w:cs="Times New Roman"/>
                <w:color w:val="auto"/>
                <w:sz w:val="24"/>
                <w:szCs w:val="24"/>
              </w:rPr>
            </w:pPr>
          </w:p>
        </w:tc>
        <w:tc>
          <w:tcPr>
            <w:tcW w:w="1585" w:type="dxa"/>
            <w:vMerge w:val="continue"/>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widowControl/>
              <w:spacing w:line="400" w:lineRule="exact"/>
              <w:jc w:val="center"/>
              <w:rPr>
                <w:rFonts w:hint="default" w:ascii="Times New Roman" w:hAnsi="Times New Roman" w:cs="Times New Roman"/>
                <w:color w:val="auto"/>
                <w:sz w:val="24"/>
                <w:szCs w:val="24"/>
              </w:rPr>
            </w:pPr>
          </w:p>
        </w:tc>
        <w:tc>
          <w:tcPr>
            <w:tcW w:w="2615"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定期喷洒抑制剂</w:t>
            </w:r>
          </w:p>
        </w:tc>
        <w:tc>
          <w:tcPr>
            <w:tcW w:w="1501"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0.03</w:t>
            </w:r>
          </w:p>
        </w:tc>
        <w:tc>
          <w:tcPr>
            <w:tcW w:w="1346"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59" w:type="dxa"/>
            <w:vMerge w:val="continue"/>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widowControl/>
              <w:spacing w:line="400" w:lineRule="exact"/>
              <w:jc w:val="center"/>
              <w:rPr>
                <w:rFonts w:hint="default" w:ascii="Times New Roman" w:hAnsi="Times New Roman" w:cs="Times New Roman"/>
                <w:color w:val="auto"/>
                <w:sz w:val="24"/>
                <w:szCs w:val="24"/>
              </w:rPr>
            </w:pPr>
          </w:p>
        </w:tc>
        <w:tc>
          <w:tcPr>
            <w:tcW w:w="1585" w:type="dxa"/>
            <w:vMerge w:val="restart"/>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二次扬尘</w:t>
            </w:r>
          </w:p>
        </w:tc>
        <w:tc>
          <w:tcPr>
            <w:tcW w:w="2615"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运输车辆机械冲洗装置</w:t>
            </w:r>
          </w:p>
        </w:tc>
        <w:tc>
          <w:tcPr>
            <w:tcW w:w="1501"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0.31</w:t>
            </w:r>
          </w:p>
        </w:tc>
        <w:tc>
          <w:tcPr>
            <w:tcW w:w="1346"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59" w:type="dxa"/>
            <w:vMerge w:val="continue"/>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widowControl/>
              <w:spacing w:line="400" w:lineRule="exact"/>
              <w:jc w:val="center"/>
              <w:rPr>
                <w:rFonts w:hint="default" w:ascii="Times New Roman" w:hAnsi="Times New Roman" w:cs="Times New Roman"/>
                <w:color w:val="auto"/>
                <w:sz w:val="24"/>
                <w:szCs w:val="24"/>
              </w:rPr>
            </w:pPr>
          </w:p>
        </w:tc>
        <w:tc>
          <w:tcPr>
            <w:tcW w:w="1585" w:type="dxa"/>
            <w:vMerge w:val="continue"/>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widowControl/>
              <w:spacing w:line="400" w:lineRule="exact"/>
              <w:jc w:val="center"/>
              <w:rPr>
                <w:rFonts w:hint="default" w:ascii="Times New Roman" w:hAnsi="Times New Roman" w:cs="Times New Roman"/>
                <w:color w:val="auto"/>
                <w:sz w:val="24"/>
                <w:szCs w:val="24"/>
              </w:rPr>
            </w:pPr>
          </w:p>
        </w:tc>
        <w:tc>
          <w:tcPr>
            <w:tcW w:w="2615"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运输车辆简易冲洗装置</w:t>
            </w:r>
          </w:p>
        </w:tc>
        <w:tc>
          <w:tcPr>
            <w:tcW w:w="1501"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0.155</w:t>
            </w:r>
          </w:p>
        </w:tc>
        <w:tc>
          <w:tcPr>
            <w:tcW w:w="1346"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59" w:type="dxa"/>
            <w:vMerge w:val="restart"/>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市政（拆迁）工地</w:t>
            </w:r>
          </w:p>
        </w:tc>
        <w:tc>
          <w:tcPr>
            <w:tcW w:w="1585" w:type="dxa"/>
            <w:vMerge w:val="restart"/>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一次扬尘</w:t>
            </w:r>
          </w:p>
        </w:tc>
        <w:tc>
          <w:tcPr>
            <w:tcW w:w="2615"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道路硬化措施</w:t>
            </w:r>
          </w:p>
        </w:tc>
        <w:tc>
          <w:tcPr>
            <w:tcW w:w="1501"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0.102</w:t>
            </w:r>
          </w:p>
        </w:tc>
        <w:tc>
          <w:tcPr>
            <w:tcW w:w="1346"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59" w:type="dxa"/>
            <w:vMerge w:val="continue"/>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widowControl/>
              <w:spacing w:line="400" w:lineRule="exact"/>
              <w:jc w:val="center"/>
              <w:rPr>
                <w:rFonts w:hint="default" w:ascii="Times New Roman" w:hAnsi="Times New Roman" w:cs="Times New Roman"/>
                <w:color w:val="auto"/>
                <w:sz w:val="24"/>
                <w:szCs w:val="24"/>
              </w:rPr>
            </w:pPr>
          </w:p>
        </w:tc>
        <w:tc>
          <w:tcPr>
            <w:tcW w:w="1585" w:type="dxa"/>
            <w:vMerge w:val="continue"/>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widowControl/>
              <w:spacing w:line="400" w:lineRule="exact"/>
              <w:jc w:val="center"/>
              <w:rPr>
                <w:rFonts w:hint="default" w:ascii="Times New Roman" w:hAnsi="Times New Roman" w:cs="Times New Roman"/>
                <w:color w:val="auto"/>
                <w:sz w:val="24"/>
                <w:szCs w:val="24"/>
              </w:rPr>
            </w:pPr>
          </w:p>
        </w:tc>
        <w:tc>
          <w:tcPr>
            <w:tcW w:w="2615"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边界围挡</w:t>
            </w:r>
          </w:p>
        </w:tc>
        <w:tc>
          <w:tcPr>
            <w:tcW w:w="1501"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0.102</w:t>
            </w:r>
          </w:p>
        </w:tc>
        <w:tc>
          <w:tcPr>
            <w:tcW w:w="1346"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59" w:type="dxa"/>
            <w:vMerge w:val="continue"/>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widowControl/>
              <w:spacing w:line="400" w:lineRule="exact"/>
              <w:jc w:val="center"/>
              <w:rPr>
                <w:rFonts w:hint="default" w:ascii="Times New Roman" w:hAnsi="Times New Roman" w:cs="Times New Roman"/>
                <w:color w:val="auto"/>
                <w:sz w:val="24"/>
                <w:szCs w:val="24"/>
              </w:rPr>
            </w:pPr>
          </w:p>
        </w:tc>
        <w:tc>
          <w:tcPr>
            <w:tcW w:w="1585" w:type="dxa"/>
            <w:vMerge w:val="continue"/>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widowControl/>
              <w:spacing w:line="400" w:lineRule="exact"/>
              <w:jc w:val="center"/>
              <w:rPr>
                <w:rFonts w:hint="default" w:ascii="Times New Roman" w:hAnsi="Times New Roman" w:cs="Times New Roman"/>
                <w:color w:val="auto"/>
                <w:sz w:val="24"/>
                <w:szCs w:val="24"/>
              </w:rPr>
            </w:pPr>
          </w:p>
        </w:tc>
        <w:tc>
          <w:tcPr>
            <w:tcW w:w="2615"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易扬尘物料覆盖</w:t>
            </w:r>
          </w:p>
        </w:tc>
        <w:tc>
          <w:tcPr>
            <w:tcW w:w="1501"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0.066</w:t>
            </w:r>
          </w:p>
        </w:tc>
        <w:tc>
          <w:tcPr>
            <w:tcW w:w="1346"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59" w:type="dxa"/>
            <w:vMerge w:val="continue"/>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widowControl/>
              <w:spacing w:line="400" w:lineRule="exact"/>
              <w:jc w:val="center"/>
              <w:rPr>
                <w:rFonts w:hint="default" w:ascii="Times New Roman" w:hAnsi="Times New Roman" w:cs="Times New Roman"/>
                <w:color w:val="auto"/>
                <w:sz w:val="24"/>
                <w:szCs w:val="24"/>
              </w:rPr>
            </w:pPr>
          </w:p>
        </w:tc>
        <w:tc>
          <w:tcPr>
            <w:tcW w:w="1585" w:type="dxa"/>
            <w:vMerge w:val="continue"/>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widowControl/>
              <w:spacing w:line="400" w:lineRule="exact"/>
              <w:jc w:val="center"/>
              <w:rPr>
                <w:rFonts w:hint="default" w:ascii="Times New Roman" w:hAnsi="Times New Roman" w:cs="Times New Roman"/>
                <w:color w:val="auto"/>
                <w:sz w:val="24"/>
                <w:szCs w:val="24"/>
              </w:rPr>
            </w:pPr>
          </w:p>
        </w:tc>
        <w:tc>
          <w:tcPr>
            <w:tcW w:w="2615"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定期喷洒抑制剂</w:t>
            </w:r>
          </w:p>
        </w:tc>
        <w:tc>
          <w:tcPr>
            <w:tcW w:w="1501"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0.03</w:t>
            </w:r>
          </w:p>
        </w:tc>
        <w:tc>
          <w:tcPr>
            <w:tcW w:w="1346"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59" w:type="dxa"/>
            <w:vMerge w:val="continue"/>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widowControl/>
              <w:spacing w:line="400" w:lineRule="exact"/>
              <w:jc w:val="center"/>
              <w:rPr>
                <w:rFonts w:hint="default" w:ascii="Times New Roman" w:hAnsi="Times New Roman" w:cs="Times New Roman"/>
                <w:color w:val="auto"/>
                <w:sz w:val="24"/>
                <w:szCs w:val="24"/>
              </w:rPr>
            </w:pPr>
          </w:p>
        </w:tc>
        <w:tc>
          <w:tcPr>
            <w:tcW w:w="1585" w:type="dxa"/>
            <w:vMerge w:val="restart"/>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二次扬尘</w:t>
            </w:r>
          </w:p>
        </w:tc>
        <w:tc>
          <w:tcPr>
            <w:tcW w:w="2615"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运输车辆机械冲洗装置</w:t>
            </w:r>
          </w:p>
        </w:tc>
        <w:tc>
          <w:tcPr>
            <w:tcW w:w="1501"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0.68</w:t>
            </w:r>
          </w:p>
        </w:tc>
        <w:tc>
          <w:tcPr>
            <w:tcW w:w="1346"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59" w:type="dxa"/>
            <w:vMerge w:val="continue"/>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widowControl/>
              <w:spacing w:line="400" w:lineRule="exact"/>
              <w:jc w:val="center"/>
              <w:rPr>
                <w:rFonts w:hint="default" w:ascii="Times New Roman" w:hAnsi="Times New Roman" w:cs="Times New Roman"/>
                <w:color w:val="auto"/>
                <w:sz w:val="24"/>
                <w:szCs w:val="24"/>
              </w:rPr>
            </w:pPr>
          </w:p>
        </w:tc>
        <w:tc>
          <w:tcPr>
            <w:tcW w:w="1585" w:type="dxa"/>
            <w:vMerge w:val="continue"/>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widowControl/>
              <w:spacing w:line="400" w:lineRule="exact"/>
              <w:jc w:val="center"/>
              <w:rPr>
                <w:rFonts w:hint="default" w:ascii="Times New Roman" w:hAnsi="Times New Roman" w:cs="Times New Roman"/>
                <w:color w:val="auto"/>
                <w:sz w:val="24"/>
                <w:szCs w:val="24"/>
              </w:rPr>
            </w:pPr>
          </w:p>
        </w:tc>
        <w:tc>
          <w:tcPr>
            <w:tcW w:w="2615"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运输车辆简易冲洗装置</w:t>
            </w:r>
          </w:p>
        </w:tc>
        <w:tc>
          <w:tcPr>
            <w:tcW w:w="1501"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0.034</w:t>
            </w:r>
          </w:p>
        </w:tc>
        <w:tc>
          <w:tcPr>
            <w:tcW w:w="1346" w:type="dxa"/>
            <w:tcBorders>
              <w:top w:val="single" w:color="auto" w:sz="4" w:space="0"/>
              <w:left w:val="single" w:color="auto" w:sz="4" w:space="0"/>
              <w:bottom w:val="single" w:color="auto" w:sz="4" w:space="0"/>
              <w:right w:val="single" w:color="auto" w:sz="4" w:space="0"/>
            </w:tcBorders>
            <w:noWrap w:val="0"/>
            <w:tcMar>
              <w:top w:w="50" w:type="dxa"/>
              <w:left w:w="50" w:type="dxa"/>
              <w:bottom w:w="50" w:type="dxa"/>
              <w:right w:w="5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jc w:val="center"/>
              <w:rPr>
                <w:rFonts w:hint="default" w:ascii="Times New Roman" w:hAnsi="Times New Roman" w:eastAsia="微软雅黑" w:cs="Times New Roman"/>
                <w:color w:val="auto"/>
              </w:rPr>
            </w:pPr>
            <w:r>
              <w:rPr>
                <w:rFonts w:hint="default" w:ascii="Times New Roman" w:hAnsi="Times New Roman" w:eastAsia="微软雅黑" w:cs="Times New Roman"/>
                <w:color w:val="auto"/>
              </w:rPr>
              <w:t>0</w:t>
            </w:r>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1124" w:right="0" w:hanging="1124" w:hangingChars="400"/>
        <w:jc w:val="both"/>
        <w:textAlignment w:val="auto"/>
        <w:rPr>
          <w:rFonts w:hint="default" w:ascii="Times New Roman" w:hAnsi="Times New Roman" w:eastAsia="仿宋" w:cs="Times New Roman"/>
          <w:b w:val="0"/>
          <w:bCs w:val="0"/>
          <w:color w:val="auto"/>
          <w:sz w:val="28"/>
          <w:szCs w:val="28"/>
        </w:rPr>
      </w:pPr>
      <w:r>
        <w:rPr>
          <w:rFonts w:hint="default" w:ascii="Times New Roman" w:hAnsi="Times New Roman" w:eastAsia="仿宋" w:cs="Times New Roman"/>
          <w:b/>
          <w:bCs/>
          <w:color w:val="auto"/>
          <w:sz w:val="28"/>
          <w:szCs w:val="28"/>
          <w:lang w:val="en-US" w:eastAsia="zh-CN"/>
        </w:rPr>
        <w:t>备注</w:t>
      </w:r>
      <w:r>
        <w:rPr>
          <w:rFonts w:hint="default" w:ascii="Times New Roman" w:hAnsi="Times New Roman" w:eastAsia="仿宋" w:cs="Times New Roman"/>
          <w:b w:val="0"/>
          <w:bCs w:val="0"/>
          <w:color w:val="auto"/>
          <w:sz w:val="28"/>
          <w:szCs w:val="28"/>
          <w:lang w:val="en-US" w:eastAsia="zh-CN"/>
        </w:rPr>
        <w:t>：</w:t>
      </w:r>
      <w:r>
        <w:rPr>
          <w:rFonts w:hint="default" w:ascii="Times New Roman" w:hAnsi="Times New Roman" w:eastAsia="仿宋" w:cs="Times New Roman"/>
          <w:b w:val="0"/>
          <w:bCs w:val="0"/>
          <w:color w:val="auto"/>
          <w:sz w:val="28"/>
          <w:szCs w:val="28"/>
        </w:rPr>
        <w:t>1</w:t>
      </w:r>
      <w:r>
        <w:rPr>
          <w:rFonts w:hint="eastAsia" w:ascii="仿宋" w:hAnsi="仿宋" w:eastAsia="仿宋" w:cs="仿宋"/>
          <w:b w:val="0"/>
          <w:bCs w:val="0"/>
          <w:color w:val="auto"/>
          <w:sz w:val="28"/>
          <w:szCs w:val="28"/>
        </w:rPr>
        <w:t>.</w:t>
      </w:r>
      <w:r>
        <w:rPr>
          <w:rFonts w:hint="default" w:ascii="Times New Roman" w:hAnsi="Times New Roman" w:eastAsia="仿宋" w:cs="Times New Roman"/>
          <w:b w:val="0"/>
          <w:bCs w:val="0"/>
          <w:color w:val="auto"/>
          <w:sz w:val="28"/>
          <w:szCs w:val="28"/>
        </w:rPr>
        <w:t>建筑工地、市政（拆迁）工地分别计算。</w:t>
      </w:r>
      <w:r>
        <w:rPr>
          <w:rFonts w:hint="default" w:ascii="Times New Roman" w:hAnsi="Times New Roman" w:eastAsia="仿宋" w:cs="Times New Roman"/>
          <w:color w:val="auto"/>
          <w:sz w:val="28"/>
          <w:szCs w:val="28"/>
        </w:rPr>
        <w:t>道桥施工工程</w:t>
      </w:r>
      <w:r>
        <w:rPr>
          <w:rFonts w:hint="eastAsia" w:ascii="Times New Roman" w:hAnsi="Times New Roman" w:eastAsia="仿宋" w:cs="Times New Roman"/>
          <w:color w:val="auto"/>
          <w:sz w:val="28"/>
          <w:szCs w:val="28"/>
          <w:lang w:val="en-US" w:eastAsia="zh-CN"/>
        </w:rPr>
        <w:t>按表中“市政（拆迁）工地”</w:t>
      </w:r>
      <w:r>
        <w:rPr>
          <w:rFonts w:hint="default" w:ascii="Times New Roman" w:hAnsi="Times New Roman" w:eastAsia="仿宋" w:cs="Times New Roman"/>
          <w:i w:val="0"/>
          <w:iCs w:val="0"/>
          <w:caps w:val="0"/>
          <w:color w:val="auto"/>
          <w:spacing w:val="0"/>
          <w:sz w:val="28"/>
          <w:szCs w:val="28"/>
          <w:shd w:val="clear" w:color="auto" w:fill="FFFFFF"/>
        </w:rPr>
        <w:t>确定扬尘产生量系数和削减系数</w:t>
      </w:r>
      <w:r>
        <w:rPr>
          <w:rFonts w:hint="default" w:ascii="Times New Roman" w:hAnsi="Times New Roman" w:eastAsia="仿宋" w:cs="Times New Roman"/>
          <w:i w:val="0"/>
          <w:iCs w:val="0"/>
          <w:caps w:val="0"/>
          <w:color w:val="auto"/>
          <w:spacing w:val="0"/>
          <w:sz w:val="28"/>
          <w:szCs w:val="28"/>
          <w:shd w:val="clear" w:color="auto" w:fill="FFFFFF"/>
          <w:lang w:eastAsia="zh-CN"/>
        </w:rPr>
        <w:t>。</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840" w:leftChars="0" w:right="0" w:firstLine="0" w:firstLineChars="0"/>
        <w:jc w:val="both"/>
        <w:textAlignment w:val="auto"/>
        <w:rPr>
          <w:rFonts w:hint="default" w:ascii="Times New Roman" w:hAnsi="Times New Roman" w:eastAsia="仿宋" w:cs="Times New Roman"/>
          <w:b w:val="0"/>
          <w:bCs w:val="0"/>
          <w:color w:val="auto"/>
          <w:sz w:val="28"/>
          <w:szCs w:val="28"/>
        </w:rPr>
      </w:pPr>
      <w:r>
        <w:rPr>
          <w:rFonts w:hint="eastAsia" w:ascii="Times New Roman" w:hAnsi="Times New Roman" w:eastAsia="仿宋" w:cs="Times New Roman"/>
          <w:b w:val="0"/>
          <w:bCs w:val="0"/>
          <w:color w:val="auto"/>
          <w:sz w:val="28"/>
          <w:szCs w:val="28"/>
          <w:lang w:val="en-US" w:eastAsia="zh-CN"/>
        </w:rPr>
        <w:t>2</w:t>
      </w:r>
      <w:r>
        <w:rPr>
          <w:rFonts w:hint="eastAsia" w:ascii="仿宋" w:hAnsi="仿宋" w:eastAsia="仿宋" w:cs="仿宋"/>
          <w:b w:val="0"/>
          <w:bCs w:val="0"/>
          <w:color w:val="auto"/>
          <w:sz w:val="28"/>
          <w:szCs w:val="28"/>
          <w:lang w:val="en-US" w:eastAsia="zh-CN"/>
        </w:rPr>
        <w:t>.</w:t>
      </w:r>
      <w:r>
        <w:rPr>
          <w:rFonts w:hint="default" w:ascii="Times New Roman" w:hAnsi="Times New Roman" w:eastAsia="仿宋" w:cs="Times New Roman"/>
          <w:b w:val="0"/>
          <w:bCs w:val="0"/>
          <w:color w:val="auto"/>
          <w:sz w:val="28"/>
          <w:szCs w:val="28"/>
        </w:rPr>
        <w:t>扬尘污染采取措施的，一次扬尘为累加计算；二次扬尘为</w:t>
      </w:r>
      <w:r>
        <w:rPr>
          <w:rFonts w:hint="eastAsia" w:ascii="Times New Roman" w:hAnsi="Times New Roman" w:eastAsia="仿宋" w:cs="Times New Roman"/>
          <w:b w:val="0"/>
          <w:bCs w:val="0"/>
          <w:color w:val="auto"/>
          <w:sz w:val="28"/>
          <w:szCs w:val="28"/>
          <w:lang w:val="en-US" w:eastAsia="zh-CN"/>
        </w:rPr>
        <w:t xml:space="preserve"> </w:t>
      </w:r>
    </w:p>
    <w:p>
      <w:pPr>
        <w:spacing w:line="440" w:lineRule="exact"/>
        <w:jc w:val="both"/>
        <w:rPr>
          <w:rFonts w:ascii="Times New Roman" w:hAnsi="Times New Roman" w:eastAsia="仿宋" w:cs="Times New Roman"/>
          <w:i w:val="0"/>
          <w:caps w:val="0"/>
          <w:color w:val="auto"/>
          <w:spacing w:val="0"/>
          <w:kern w:val="0"/>
          <w:sz w:val="28"/>
          <w:szCs w:val="28"/>
          <w:shd w:val="clear" w:color="auto" w:fill="auto"/>
          <w:lang w:val="en-US" w:eastAsia="zh-CN" w:bidi="ar"/>
        </w:rPr>
      </w:pPr>
      <w:r>
        <w:rPr>
          <w:rFonts w:hint="eastAsia" w:ascii="Times New Roman" w:hAnsi="Times New Roman" w:eastAsia="仿宋" w:cs="Times New Roman"/>
          <w:b w:val="0"/>
          <w:bCs w:val="0"/>
          <w:color w:val="auto"/>
          <w:sz w:val="28"/>
          <w:szCs w:val="28"/>
          <w:lang w:val="en-US" w:eastAsia="zh-CN"/>
        </w:rPr>
        <w:t xml:space="preserve">       </w:t>
      </w:r>
      <w:r>
        <w:rPr>
          <w:rFonts w:hint="default" w:ascii="Times New Roman" w:hAnsi="Times New Roman" w:eastAsia="仿宋" w:cs="Times New Roman"/>
          <w:b w:val="0"/>
          <w:bCs w:val="0"/>
          <w:color w:val="auto"/>
          <w:sz w:val="28"/>
          <w:szCs w:val="28"/>
        </w:rPr>
        <w:t>选择</w:t>
      </w:r>
      <w:r>
        <w:rPr>
          <w:rFonts w:hint="default" w:ascii="Times New Roman" w:hAnsi="Times New Roman" w:eastAsia="仿宋" w:cs="Times New Roman"/>
          <w:b w:val="0"/>
          <w:bCs w:val="0"/>
          <w:color w:val="auto"/>
          <w:kern w:val="0"/>
          <w:sz w:val="28"/>
          <w:szCs w:val="28"/>
          <w:lang w:bidi="ar"/>
        </w:rPr>
        <w:t>计算</w:t>
      </w:r>
      <w:r>
        <w:rPr>
          <w:rFonts w:hint="eastAsia" w:ascii="Times New Roman" w:hAnsi="Times New Roman" w:eastAsia="仿宋" w:cs="Times New Roman"/>
          <w:b w:val="0"/>
          <w:bCs w:val="0"/>
          <w:color w:val="auto"/>
          <w:kern w:val="0"/>
          <w:sz w:val="28"/>
          <w:szCs w:val="28"/>
          <w:lang w:eastAsia="zh-CN" w:bidi="ar"/>
        </w:rPr>
        <w:t>，</w:t>
      </w:r>
      <w:r>
        <w:rPr>
          <w:rFonts w:ascii="Times New Roman" w:hAnsi="Times New Roman" w:eastAsia="仿宋" w:cs="Times New Roman"/>
          <w:i w:val="0"/>
          <w:caps w:val="0"/>
          <w:color w:val="auto"/>
          <w:spacing w:val="0"/>
          <w:kern w:val="0"/>
          <w:sz w:val="28"/>
          <w:szCs w:val="28"/>
          <w:shd w:val="clear" w:color="auto" w:fill="auto"/>
          <w:lang w:val="en-US" w:eastAsia="zh-CN" w:bidi="ar"/>
        </w:rPr>
        <w:t>若同时采用两种达标控制措施，按运输车辆机械</w:t>
      </w:r>
    </w:p>
    <w:p>
      <w:pPr>
        <w:spacing w:line="440" w:lineRule="exact"/>
        <w:jc w:val="both"/>
        <w:rPr>
          <w:rFonts w:hint="default" w:ascii="Times New Roman" w:hAnsi="Times New Roman" w:eastAsia="仿宋" w:cs="Times New Roman"/>
          <w:b w:val="0"/>
          <w:bCs w:val="0"/>
          <w:color w:val="auto"/>
          <w:sz w:val="28"/>
          <w:szCs w:val="28"/>
        </w:rPr>
      </w:pPr>
      <w:r>
        <w:rPr>
          <w:rFonts w:hint="eastAsia" w:ascii="Times New Roman" w:hAnsi="Times New Roman" w:eastAsia="仿宋" w:cs="Times New Roman"/>
          <w:i w:val="0"/>
          <w:caps w:val="0"/>
          <w:color w:val="auto"/>
          <w:spacing w:val="0"/>
          <w:kern w:val="0"/>
          <w:sz w:val="28"/>
          <w:szCs w:val="28"/>
          <w:shd w:val="clear" w:color="auto" w:fill="auto"/>
          <w:lang w:val="en-US" w:eastAsia="zh-CN" w:bidi="ar"/>
        </w:rPr>
        <w:t xml:space="preserve">       </w:t>
      </w:r>
      <w:r>
        <w:rPr>
          <w:rFonts w:ascii="Times New Roman" w:hAnsi="Times New Roman" w:eastAsia="仿宋" w:cs="Times New Roman"/>
          <w:i w:val="0"/>
          <w:caps w:val="0"/>
          <w:color w:val="auto"/>
          <w:spacing w:val="0"/>
          <w:kern w:val="0"/>
          <w:sz w:val="28"/>
          <w:szCs w:val="28"/>
          <w:shd w:val="clear" w:color="auto" w:fill="auto"/>
          <w:lang w:val="en-US" w:eastAsia="zh-CN" w:bidi="ar"/>
        </w:rPr>
        <w:t>冲洗装置削减系数优先扣减。</w:t>
      </w:r>
    </w:p>
    <w:p>
      <w:pPr>
        <w:pStyle w:val="8"/>
        <w:widowControl/>
        <w:numPr>
          <w:ilvl w:val="0"/>
          <w:numId w:val="0"/>
        </w:numPr>
        <w:pBdr>
          <w:top w:val="none" w:color="auto" w:sz="0" w:space="0"/>
          <w:left w:val="none" w:color="auto" w:sz="0" w:space="0"/>
          <w:bottom w:val="none" w:color="auto" w:sz="0" w:space="0"/>
          <w:right w:val="none" w:color="auto" w:sz="0" w:space="0"/>
        </w:pBdr>
        <w:spacing w:beforeAutospacing="0" w:afterAutospacing="0" w:line="440" w:lineRule="exact"/>
        <w:ind w:firstLine="840" w:firstLineChars="300"/>
        <w:jc w:val="both"/>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pPr>
      <w:r>
        <w:rPr>
          <w:rFonts w:hint="default" w:ascii="Times New Roman" w:hAnsi="Times New Roman" w:eastAsia="仿宋" w:cs="Times New Roman"/>
          <w:b w:val="0"/>
          <w:bCs w:val="0"/>
          <w:color w:val="auto"/>
          <w:sz w:val="28"/>
          <w:szCs w:val="28"/>
          <w:lang w:val="en" w:eastAsia="zh-CN"/>
        </w:rPr>
        <w:t>3</w:t>
      </w:r>
      <w:r>
        <w:rPr>
          <w:rFonts w:hint="eastAsia" w:ascii="仿宋" w:hAnsi="仿宋" w:eastAsia="仿宋" w:cs="仿宋"/>
          <w:b w:val="0"/>
          <w:bCs w:val="0"/>
          <w:color w:val="auto"/>
          <w:sz w:val="28"/>
          <w:szCs w:val="28"/>
          <w:lang w:val="en" w:eastAsia="zh-CN"/>
        </w:rPr>
        <w:t>.</w:t>
      </w:r>
      <w:r>
        <w:rPr>
          <w:rFonts w:hint="eastAsia" w:ascii="Times New Roman" w:hAnsi="Times New Roman" w:eastAsia="仿宋" w:cs="Times New Roman"/>
          <w:b w:val="0"/>
          <w:bCs w:val="0"/>
          <w:color w:val="auto"/>
          <w:sz w:val="28"/>
          <w:szCs w:val="28"/>
          <w:lang w:val="en-US" w:eastAsia="zh-CN"/>
        </w:rPr>
        <w:t>一次扬尘系数与二次扬尘系数可叠加计算。</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_GB2312">
    <w:altName w:val="仿宋"/>
    <w:panose1 w:val="00000000000000000000"/>
    <w:charset w:val="00"/>
    <w:family w:val="auto"/>
    <w:pitch w:val="default"/>
    <w:sig w:usb0="00000000" w:usb1="00000000" w:usb2="00000000"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632FF"/>
    <w:multiLevelType w:val="singleLevel"/>
    <w:tmpl w:val="BB3632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702E6"/>
    <w:rsid w:val="01070482"/>
    <w:rsid w:val="05C14632"/>
    <w:rsid w:val="06BF3807"/>
    <w:rsid w:val="0B43497A"/>
    <w:rsid w:val="0FDECAA8"/>
    <w:rsid w:val="10BC1945"/>
    <w:rsid w:val="127E726D"/>
    <w:rsid w:val="17FE4596"/>
    <w:rsid w:val="196F1BA3"/>
    <w:rsid w:val="199FC359"/>
    <w:rsid w:val="1B77D96E"/>
    <w:rsid w:val="1D18698F"/>
    <w:rsid w:val="1D3702E6"/>
    <w:rsid w:val="1FEFEB22"/>
    <w:rsid w:val="20D77496"/>
    <w:rsid w:val="217D32E1"/>
    <w:rsid w:val="26AF9F79"/>
    <w:rsid w:val="27FCD540"/>
    <w:rsid w:val="2864417E"/>
    <w:rsid w:val="2A8F11AA"/>
    <w:rsid w:val="2AE337EF"/>
    <w:rsid w:val="2AFB04C6"/>
    <w:rsid w:val="2BBC5CAD"/>
    <w:rsid w:val="2C4F2457"/>
    <w:rsid w:val="2DFFC7E0"/>
    <w:rsid w:val="2ED68177"/>
    <w:rsid w:val="2EDD80A7"/>
    <w:rsid w:val="32FACB29"/>
    <w:rsid w:val="363D1939"/>
    <w:rsid w:val="37CCB411"/>
    <w:rsid w:val="37EF25AC"/>
    <w:rsid w:val="37F848F7"/>
    <w:rsid w:val="37FC9E7B"/>
    <w:rsid w:val="37FF36ED"/>
    <w:rsid w:val="39CFE129"/>
    <w:rsid w:val="3CB4F578"/>
    <w:rsid w:val="3CF7EA8F"/>
    <w:rsid w:val="3D1C3FE6"/>
    <w:rsid w:val="3D7EF334"/>
    <w:rsid w:val="3DBDB6A8"/>
    <w:rsid w:val="3DEBFDA9"/>
    <w:rsid w:val="3E526DEC"/>
    <w:rsid w:val="3F3B1E43"/>
    <w:rsid w:val="3FBB89B4"/>
    <w:rsid w:val="3FCFB1AF"/>
    <w:rsid w:val="3FFA3EE1"/>
    <w:rsid w:val="403F28C2"/>
    <w:rsid w:val="457D52C2"/>
    <w:rsid w:val="465CA51A"/>
    <w:rsid w:val="47BF3EF8"/>
    <w:rsid w:val="47FF42A3"/>
    <w:rsid w:val="4ABF2906"/>
    <w:rsid w:val="4BF72392"/>
    <w:rsid w:val="4BFC039E"/>
    <w:rsid w:val="4BFFA146"/>
    <w:rsid w:val="4DAD1C77"/>
    <w:rsid w:val="4DAF1C3B"/>
    <w:rsid w:val="4ED874AB"/>
    <w:rsid w:val="4F7B6910"/>
    <w:rsid w:val="4F7F8F28"/>
    <w:rsid w:val="4FA5AD68"/>
    <w:rsid w:val="54DD4738"/>
    <w:rsid w:val="55C72746"/>
    <w:rsid w:val="56BD7182"/>
    <w:rsid w:val="56FE7ECA"/>
    <w:rsid w:val="5777732C"/>
    <w:rsid w:val="58CBEE5E"/>
    <w:rsid w:val="5A9F043C"/>
    <w:rsid w:val="5ABFAB73"/>
    <w:rsid w:val="5BBE0DB2"/>
    <w:rsid w:val="5BFF1227"/>
    <w:rsid w:val="5D9FCAE1"/>
    <w:rsid w:val="5DCE147B"/>
    <w:rsid w:val="5DF7EFDA"/>
    <w:rsid w:val="5EEF88E7"/>
    <w:rsid w:val="5EFB8CDB"/>
    <w:rsid w:val="5F0485C5"/>
    <w:rsid w:val="5F5C30BD"/>
    <w:rsid w:val="5F5FCB7B"/>
    <w:rsid w:val="5F7D241C"/>
    <w:rsid w:val="5FA75919"/>
    <w:rsid w:val="5FB365EB"/>
    <w:rsid w:val="5FDF0D06"/>
    <w:rsid w:val="5FE94945"/>
    <w:rsid w:val="5FEF78C1"/>
    <w:rsid w:val="60D97555"/>
    <w:rsid w:val="62EF52D1"/>
    <w:rsid w:val="64791B9B"/>
    <w:rsid w:val="65FDC2B0"/>
    <w:rsid w:val="66EBAE05"/>
    <w:rsid w:val="67FD824C"/>
    <w:rsid w:val="6B6E90E9"/>
    <w:rsid w:val="6BA0A3E5"/>
    <w:rsid w:val="6BD42B46"/>
    <w:rsid w:val="6BDB0165"/>
    <w:rsid w:val="6CF6461F"/>
    <w:rsid w:val="6D6E69DB"/>
    <w:rsid w:val="6D6F5E7F"/>
    <w:rsid w:val="6DE9FB48"/>
    <w:rsid w:val="6DFF1764"/>
    <w:rsid w:val="6EEDB29F"/>
    <w:rsid w:val="6EFB07E5"/>
    <w:rsid w:val="6F358C4A"/>
    <w:rsid w:val="6F5BE6C9"/>
    <w:rsid w:val="6F9D7F32"/>
    <w:rsid w:val="6FECB311"/>
    <w:rsid w:val="6FF7719E"/>
    <w:rsid w:val="6FF85F8A"/>
    <w:rsid w:val="6FFD6735"/>
    <w:rsid w:val="6FFD98EC"/>
    <w:rsid w:val="6FFDD2D8"/>
    <w:rsid w:val="6FFF8F42"/>
    <w:rsid w:val="6FFFCD6F"/>
    <w:rsid w:val="70EF3EE1"/>
    <w:rsid w:val="70FBF672"/>
    <w:rsid w:val="71FF14EF"/>
    <w:rsid w:val="73EF9AE8"/>
    <w:rsid w:val="747622C7"/>
    <w:rsid w:val="756DB935"/>
    <w:rsid w:val="759F4CA7"/>
    <w:rsid w:val="75E73AF4"/>
    <w:rsid w:val="75FFF42B"/>
    <w:rsid w:val="76435BCF"/>
    <w:rsid w:val="7677F55F"/>
    <w:rsid w:val="76FEA943"/>
    <w:rsid w:val="773DD03E"/>
    <w:rsid w:val="775FD135"/>
    <w:rsid w:val="777F585A"/>
    <w:rsid w:val="77B9B50A"/>
    <w:rsid w:val="77BE0B3A"/>
    <w:rsid w:val="77D76733"/>
    <w:rsid w:val="77DF92B5"/>
    <w:rsid w:val="77E73162"/>
    <w:rsid w:val="78E95B11"/>
    <w:rsid w:val="799F91A9"/>
    <w:rsid w:val="7AB77DE8"/>
    <w:rsid w:val="7B3ED3EC"/>
    <w:rsid w:val="7B7F24C3"/>
    <w:rsid w:val="7B998069"/>
    <w:rsid w:val="7BBCB300"/>
    <w:rsid w:val="7BDFD1B9"/>
    <w:rsid w:val="7BEF18DF"/>
    <w:rsid w:val="7BFA480E"/>
    <w:rsid w:val="7BFF7F38"/>
    <w:rsid w:val="7BFF812E"/>
    <w:rsid w:val="7BFFE477"/>
    <w:rsid w:val="7C5F083B"/>
    <w:rsid w:val="7C6F4729"/>
    <w:rsid w:val="7CBDEBE3"/>
    <w:rsid w:val="7DDB060C"/>
    <w:rsid w:val="7DF97CAF"/>
    <w:rsid w:val="7DFAB70B"/>
    <w:rsid w:val="7DFB959A"/>
    <w:rsid w:val="7DFDE5E6"/>
    <w:rsid w:val="7E77E81B"/>
    <w:rsid w:val="7E9EECAA"/>
    <w:rsid w:val="7EBF2677"/>
    <w:rsid w:val="7ECBEFA9"/>
    <w:rsid w:val="7F052947"/>
    <w:rsid w:val="7F39BDD9"/>
    <w:rsid w:val="7F3D8B10"/>
    <w:rsid w:val="7F5E9D25"/>
    <w:rsid w:val="7F6F9500"/>
    <w:rsid w:val="7F7F661A"/>
    <w:rsid w:val="7F7F82A6"/>
    <w:rsid w:val="7F8B3C3E"/>
    <w:rsid w:val="7F9B7AD8"/>
    <w:rsid w:val="7FAE5DE7"/>
    <w:rsid w:val="7FB7A60B"/>
    <w:rsid w:val="7FBE42C7"/>
    <w:rsid w:val="7FCF1A19"/>
    <w:rsid w:val="7FE0B453"/>
    <w:rsid w:val="7FE3930D"/>
    <w:rsid w:val="7FEBC6FD"/>
    <w:rsid w:val="7FF7F9C1"/>
    <w:rsid w:val="7FFDEAC4"/>
    <w:rsid w:val="7FFF2154"/>
    <w:rsid w:val="7FFF5073"/>
    <w:rsid w:val="7FFF60D5"/>
    <w:rsid w:val="7FFFF7D7"/>
    <w:rsid w:val="7FFFFFAA"/>
    <w:rsid w:val="83FF2654"/>
    <w:rsid w:val="8DEA1CC3"/>
    <w:rsid w:val="8EDAB973"/>
    <w:rsid w:val="8FFD3718"/>
    <w:rsid w:val="977BFC46"/>
    <w:rsid w:val="97BF7D47"/>
    <w:rsid w:val="9DF71B83"/>
    <w:rsid w:val="9F3F4290"/>
    <w:rsid w:val="9F4FD428"/>
    <w:rsid w:val="9F736E69"/>
    <w:rsid w:val="9FD9DC8A"/>
    <w:rsid w:val="9FFD4D0C"/>
    <w:rsid w:val="A367F112"/>
    <w:rsid w:val="A7FF817A"/>
    <w:rsid w:val="A849BFBC"/>
    <w:rsid w:val="AA7FB342"/>
    <w:rsid w:val="AA8D8336"/>
    <w:rsid w:val="AD6E6A29"/>
    <w:rsid w:val="AE648744"/>
    <w:rsid w:val="AE9D62F7"/>
    <w:rsid w:val="AF9F81F2"/>
    <w:rsid w:val="AFDFC8BE"/>
    <w:rsid w:val="AFDFEB03"/>
    <w:rsid w:val="AFEF8E54"/>
    <w:rsid w:val="AFFFFD61"/>
    <w:rsid w:val="B3CAF3DD"/>
    <w:rsid w:val="B63F1B29"/>
    <w:rsid w:val="B6FF60BD"/>
    <w:rsid w:val="B757E417"/>
    <w:rsid w:val="B75F4FCE"/>
    <w:rsid w:val="B7766CB2"/>
    <w:rsid w:val="B7F11EC8"/>
    <w:rsid w:val="B9E5B577"/>
    <w:rsid w:val="BAEB42A2"/>
    <w:rsid w:val="BAFF3222"/>
    <w:rsid w:val="BAFF80DA"/>
    <w:rsid w:val="BB51C191"/>
    <w:rsid w:val="BB7F338A"/>
    <w:rsid w:val="BBBED32B"/>
    <w:rsid w:val="BBD78179"/>
    <w:rsid w:val="BBEA6BF1"/>
    <w:rsid w:val="BBF38977"/>
    <w:rsid w:val="BBF60C62"/>
    <w:rsid w:val="BDBD7F09"/>
    <w:rsid w:val="BE6D5B38"/>
    <w:rsid w:val="BEB71D3E"/>
    <w:rsid w:val="BEEFAC10"/>
    <w:rsid w:val="BFA61C3C"/>
    <w:rsid w:val="BFBA1B2F"/>
    <w:rsid w:val="BFEF815A"/>
    <w:rsid w:val="BFF501B6"/>
    <w:rsid w:val="BFFF5E46"/>
    <w:rsid w:val="BFFFB826"/>
    <w:rsid w:val="C3F783E0"/>
    <w:rsid w:val="C7D996E6"/>
    <w:rsid w:val="C7F729A3"/>
    <w:rsid w:val="C9DEEBA9"/>
    <w:rsid w:val="CB9B67A1"/>
    <w:rsid w:val="CF7F5F6C"/>
    <w:rsid w:val="CF806D16"/>
    <w:rsid w:val="CFAF132A"/>
    <w:rsid w:val="CFFDC409"/>
    <w:rsid w:val="D7796AF9"/>
    <w:rsid w:val="D7B31DD8"/>
    <w:rsid w:val="D7CFBDA7"/>
    <w:rsid w:val="D7F4843D"/>
    <w:rsid w:val="D7FF3AB8"/>
    <w:rsid w:val="D93F68E1"/>
    <w:rsid w:val="D9CF78F6"/>
    <w:rsid w:val="D9DF68AD"/>
    <w:rsid w:val="DA7E75F3"/>
    <w:rsid w:val="DAB58425"/>
    <w:rsid w:val="DCD8C24F"/>
    <w:rsid w:val="DD5E15C2"/>
    <w:rsid w:val="DD97027A"/>
    <w:rsid w:val="DDB6F8BC"/>
    <w:rsid w:val="DDD37B8D"/>
    <w:rsid w:val="DDDB26B5"/>
    <w:rsid w:val="DDDF28F5"/>
    <w:rsid w:val="DDE358AB"/>
    <w:rsid w:val="DDFA99A9"/>
    <w:rsid w:val="DDFF8A5E"/>
    <w:rsid w:val="DE6746B1"/>
    <w:rsid w:val="DEF714A3"/>
    <w:rsid w:val="DFB1E47A"/>
    <w:rsid w:val="DFCF611F"/>
    <w:rsid w:val="DFDEA60A"/>
    <w:rsid w:val="DFEF5BD4"/>
    <w:rsid w:val="DFF73973"/>
    <w:rsid w:val="DFF760FE"/>
    <w:rsid w:val="DFF86138"/>
    <w:rsid w:val="DFFF6835"/>
    <w:rsid w:val="DFFFB280"/>
    <w:rsid w:val="E3AC4719"/>
    <w:rsid w:val="E4DA7067"/>
    <w:rsid w:val="E5362520"/>
    <w:rsid w:val="E5DD8EF2"/>
    <w:rsid w:val="E5FD1652"/>
    <w:rsid w:val="E6ADFA6E"/>
    <w:rsid w:val="E7F6C3B8"/>
    <w:rsid w:val="E8FC86C5"/>
    <w:rsid w:val="E9C755BF"/>
    <w:rsid w:val="EABFC9A1"/>
    <w:rsid w:val="EB3BEF4A"/>
    <w:rsid w:val="EBAF94EA"/>
    <w:rsid w:val="EBC7AA2C"/>
    <w:rsid w:val="EDCF11C1"/>
    <w:rsid w:val="EDFF36A6"/>
    <w:rsid w:val="EEBFD4C6"/>
    <w:rsid w:val="EEFEF8F2"/>
    <w:rsid w:val="EF7F7F45"/>
    <w:rsid w:val="EFBC5F02"/>
    <w:rsid w:val="EFBD6777"/>
    <w:rsid w:val="EFBFD823"/>
    <w:rsid w:val="EFFC2487"/>
    <w:rsid w:val="F1672E97"/>
    <w:rsid w:val="F1C710AA"/>
    <w:rsid w:val="F1FD4A9F"/>
    <w:rsid w:val="F3F31B88"/>
    <w:rsid w:val="F4CF80C6"/>
    <w:rsid w:val="F4F739F3"/>
    <w:rsid w:val="F5BF8203"/>
    <w:rsid w:val="F5FDB855"/>
    <w:rsid w:val="F6AD3B62"/>
    <w:rsid w:val="F73EF7EB"/>
    <w:rsid w:val="F766F8DF"/>
    <w:rsid w:val="F77FD4E7"/>
    <w:rsid w:val="F7F2A013"/>
    <w:rsid w:val="F7FD6055"/>
    <w:rsid w:val="F83FA88B"/>
    <w:rsid w:val="F877A706"/>
    <w:rsid w:val="F8FDB693"/>
    <w:rsid w:val="F9ED807D"/>
    <w:rsid w:val="F9EF9211"/>
    <w:rsid w:val="F9FF224E"/>
    <w:rsid w:val="FADAE9B3"/>
    <w:rsid w:val="FAFE59B6"/>
    <w:rsid w:val="FB776E3E"/>
    <w:rsid w:val="FB7DA68F"/>
    <w:rsid w:val="FBDB31A1"/>
    <w:rsid w:val="FBF997F9"/>
    <w:rsid w:val="FC678971"/>
    <w:rsid w:val="FC7D1DBF"/>
    <w:rsid w:val="FCED518D"/>
    <w:rsid w:val="FCFEE857"/>
    <w:rsid w:val="FCFF6FEE"/>
    <w:rsid w:val="FD7BB916"/>
    <w:rsid w:val="FD9756BE"/>
    <w:rsid w:val="FDEF76C2"/>
    <w:rsid w:val="FDF39461"/>
    <w:rsid w:val="FDF7B056"/>
    <w:rsid w:val="FDFA6343"/>
    <w:rsid w:val="FDFE3836"/>
    <w:rsid w:val="FDFF0A8A"/>
    <w:rsid w:val="FE4F1AAB"/>
    <w:rsid w:val="FE5EB33F"/>
    <w:rsid w:val="FE7D7911"/>
    <w:rsid w:val="FEB3B753"/>
    <w:rsid w:val="FEDE3F09"/>
    <w:rsid w:val="FEEED7CC"/>
    <w:rsid w:val="FEF52D39"/>
    <w:rsid w:val="FEF7228E"/>
    <w:rsid w:val="FEFDA128"/>
    <w:rsid w:val="FEFFBF2E"/>
    <w:rsid w:val="FF3E5B5A"/>
    <w:rsid w:val="FF6ED386"/>
    <w:rsid w:val="FF7315DA"/>
    <w:rsid w:val="FF755199"/>
    <w:rsid w:val="FF7D53A4"/>
    <w:rsid w:val="FF7E956E"/>
    <w:rsid w:val="FF9F43E0"/>
    <w:rsid w:val="FFBDB8B4"/>
    <w:rsid w:val="FFE9D6BF"/>
    <w:rsid w:val="FFF38362"/>
    <w:rsid w:val="FFF58EB4"/>
    <w:rsid w:val="FFF5B3D5"/>
    <w:rsid w:val="FFF5FDBD"/>
    <w:rsid w:val="FFFB325D"/>
    <w:rsid w:val="FFFF4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方正小标宋_GBK" w:hAnsi="方正小标宋_GBK" w:eastAsia="方正小标宋_GBK" w:cs="Times New Roman"/>
      <w:color w:val="000000"/>
      <w:sz w:val="24"/>
      <w:lang w:val="en-US" w:eastAsia="zh-CN" w:bidi="ar-SA"/>
    </w:rPr>
  </w:style>
  <w:style w:type="paragraph" w:customStyle="1" w:styleId="3">
    <w:name w:val="纯文本1"/>
    <w:basedOn w:val="1"/>
    <w:qFormat/>
    <w:uiPriority w:val="0"/>
    <w:pPr>
      <w:textAlignment w:val="baseline"/>
    </w:pPr>
    <w:rPr>
      <w:rFonts w:ascii="宋体" w:hAnsi="Courier New" w:eastAsia="宋体" w:cs="Times New Roman"/>
    </w:rPr>
  </w:style>
  <w:style w:type="paragraph" w:styleId="4">
    <w:name w:val="index 6"/>
    <w:basedOn w:val="1"/>
    <w:next w:val="1"/>
    <w:qFormat/>
    <w:uiPriority w:val="0"/>
    <w:pPr>
      <w:ind w:left="2100"/>
    </w:pPr>
    <w:rPr>
      <w:rFonts w:ascii="Times New Roman" w:hAnsi="Times New Roman" w:eastAsia="宋体"/>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rmal Indent1"/>
    <w:basedOn w:val="1"/>
    <w:qFormat/>
    <w:uiPriority w:val="7"/>
    <w:pPr>
      <w:spacing w:line="660" w:lineRule="exact"/>
      <w:ind w:firstLine="720" w:firstLineChars="200"/>
    </w:pPr>
    <w:rPr>
      <w:rFonts w:eastAsia="楷体_GB2312"/>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南宁市地税局</Company>
  <Pages>1</Pages>
  <Words>0</Words>
  <Characters>0</Characters>
  <Lines>0</Lines>
  <Paragraphs>0</Paragraphs>
  <TotalTime>25</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2023-04-21T00:11:00Z</dcterms:created>
  <dc:creator>刘晓燕</dc:creator>
  <cp:lastModifiedBy>wj</cp:lastModifiedBy>
  <cp:lastPrinted>2024-11-30T17:35:00Z</cp:lastPrinted>
  <dcterms:modified xsi:type="dcterms:W3CDTF">2025-12-05T16:29:51Z</dcterms:modified>
  <dc:title>国家税务总局广西壮族自治区税务局关于部分行业环境保护税应纳税额计算方法的公告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